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CD32" w14:textId="77777777" w:rsidR="0011079F" w:rsidRDefault="0011079F">
      <w:pPr>
        <w:rPr>
          <w:rFonts w:ascii="Arial" w:hAnsi="Arial" w:cs="Arial"/>
          <w:b/>
          <w:color w:val="185A7D"/>
          <w:sz w:val="48"/>
          <w:szCs w:val="48"/>
        </w:rPr>
      </w:pPr>
    </w:p>
    <w:p w14:paraId="7142F56A" w14:textId="77777777" w:rsidR="0011079F" w:rsidRDefault="0011079F">
      <w:pPr>
        <w:rPr>
          <w:rFonts w:ascii="Arial" w:hAnsi="Arial" w:cs="Arial"/>
          <w:b/>
          <w:color w:val="185A7D"/>
          <w:sz w:val="48"/>
          <w:szCs w:val="48"/>
        </w:rPr>
      </w:pPr>
    </w:p>
    <w:p w14:paraId="30CDE642" w14:textId="77777777" w:rsidR="0011079F" w:rsidRDefault="0011079F">
      <w:pPr>
        <w:rPr>
          <w:rFonts w:ascii="Arial" w:hAnsi="Arial" w:cs="Arial"/>
          <w:b/>
          <w:color w:val="185A7D"/>
          <w:sz w:val="48"/>
          <w:szCs w:val="48"/>
        </w:rPr>
      </w:pPr>
    </w:p>
    <w:p w14:paraId="66074A77" w14:textId="77777777" w:rsidR="0011079F" w:rsidRDefault="0011079F">
      <w:pPr>
        <w:rPr>
          <w:rFonts w:ascii="Arial" w:hAnsi="Arial" w:cs="Arial"/>
          <w:b/>
          <w:color w:val="185A7D"/>
          <w:sz w:val="48"/>
          <w:szCs w:val="48"/>
        </w:rPr>
      </w:pPr>
    </w:p>
    <w:p w14:paraId="40C0A4ED" w14:textId="77777777" w:rsidR="00980D3C" w:rsidRPr="0011079F" w:rsidRDefault="0011079F">
      <w:pPr>
        <w:rPr>
          <w:rFonts w:ascii="Arial" w:hAnsi="Arial" w:cs="Arial"/>
          <w:b/>
          <w:color w:val="185A7D"/>
          <w:sz w:val="48"/>
          <w:szCs w:val="48"/>
        </w:rPr>
      </w:pPr>
      <w:r w:rsidRPr="0011079F">
        <w:rPr>
          <w:rFonts w:ascii="Arial" w:hAnsi="Arial" w:cs="Arial"/>
          <w:b/>
          <w:color w:val="185A7D"/>
          <w:sz w:val="48"/>
          <w:szCs w:val="48"/>
        </w:rPr>
        <w:t>Freedom of Information Act 1992</w:t>
      </w:r>
    </w:p>
    <w:p w14:paraId="3983EEF1" w14:textId="77777777" w:rsidR="0011079F" w:rsidRPr="0011079F" w:rsidRDefault="0011079F">
      <w:pPr>
        <w:rPr>
          <w:rFonts w:ascii="Arial" w:hAnsi="Arial" w:cs="Arial"/>
          <w:color w:val="185A7D"/>
          <w:sz w:val="40"/>
          <w:szCs w:val="40"/>
        </w:rPr>
      </w:pPr>
      <w:r w:rsidRPr="0011079F">
        <w:rPr>
          <w:rFonts w:ascii="Arial" w:hAnsi="Arial" w:cs="Arial"/>
          <w:color w:val="185A7D"/>
          <w:sz w:val="40"/>
          <w:szCs w:val="40"/>
        </w:rPr>
        <w:t>Small Business Development Corporation</w:t>
      </w:r>
      <w:r w:rsidRPr="0011079F">
        <w:rPr>
          <w:rFonts w:ascii="Arial" w:hAnsi="Arial" w:cs="Arial"/>
          <w:color w:val="185A7D"/>
          <w:sz w:val="40"/>
          <w:szCs w:val="40"/>
        </w:rPr>
        <w:br/>
        <w:t>Information statement</w:t>
      </w:r>
    </w:p>
    <w:p w14:paraId="15725B09" w14:textId="447F1C88" w:rsidR="0011079F" w:rsidRDefault="00774F00">
      <w:pPr>
        <w:rPr>
          <w:rFonts w:ascii="Arial" w:hAnsi="Arial" w:cs="Arial"/>
          <w:color w:val="185A7D"/>
          <w:sz w:val="32"/>
          <w:szCs w:val="32"/>
        </w:rPr>
      </w:pPr>
      <w:r>
        <w:rPr>
          <w:rFonts w:ascii="Arial" w:hAnsi="Arial" w:cs="Arial"/>
          <w:color w:val="185A7D"/>
          <w:sz w:val="32"/>
          <w:szCs w:val="32"/>
        </w:rPr>
        <w:t>January</w:t>
      </w:r>
      <w:r w:rsidR="0011079F" w:rsidRPr="0011079F">
        <w:rPr>
          <w:rFonts w:ascii="Arial" w:hAnsi="Arial" w:cs="Arial"/>
          <w:color w:val="185A7D"/>
          <w:sz w:val="32"/>
          <w:szCs w:val="32"/>
        </w:rPr>
        <w:t xml:space="preserve"> 202</w:t>
      </w:r>
      <w:r>
        <w:rPr>
          <w:rFonts w:ascii="Arial" w:hAnsi="Arial" w:cs="Arial"/>
          <w:color w:val="185A7D"/>
          <w:sz w:val="32"/>
          <w:szCs w:val="32"/>
        </w:rPr>
        <w:t>4</w:t>
      </w:r>
    </w:p>
    <w:p w14:paraId="5F1B26AF" w14:textId="77777777" w:rsidR="0011079F" w:rsidRDefault="0011079F">
      <w:pPr>
        <w:rPr>
          <w:rFonts w:ascii="Arial" w:hAnsi="Arial" w:cs="Arial"/>
          <w:color w:val="185A7D"/>
          <w:sz w:val="32"/>
          <w:szCs w:val="32"/>
        </w:rPr>
      </w:pPr>
      <w:r>
        <w:rPr>
          <w:rFonts w:ascii="Arial" w:hAnsi="Arial" w:cs="Arial"/>
          <w:color w:val="185A7D"/>
          <w:sz w:val="32"/>
          <w:szCs w:val="32"/>
        </w:rPr>
        <w:br w:type="page"/>
      </w:r>
    </w:p>
    <w:sdt>
      <w:sdtPr>
        <w:rPr>
          <w:rFonts w:ascii="Arial" w:eastAsiaTheme="minorEastAsia" w:hAnsi="Arial" w:cs="Arial"/>
          <w:b w:val="0"/>
          <w:bCs w:val="0"/>
          <w:color w:val="auto"/>
          <w:sz w:val="24"/>
          <w:szCs w:val="24"/>
          <w:lang w:val="en-AU" w:eastAsia="ja-JP"/>
        </w:rPr>
        <w:id w:val="2779570"/>
        <w:docPartObj>
          <w:docPartGallery w:val="Table of Contents"/>
          <w:docPartUnique/>
        </w:docPartObj>
      </w:sdtPr>
      <w:sdtEndPr>
        <w:rPr>
          <w:rFonts w:asciiTheme="minorHAnsi" w:hAnsiTheme="minorHAnsi"/>
          <w:sz w:val="22"/>
          <w:szCs w:val="22"/>
        </w:rPr>
      </w:sdtEndPr>
      <w:sdtContent>
        <w:p w14:paraId="2FA7ED2E" w14:textId="77777777" w:rsidR="0011079F" w:rsidRPr="0011079F" w:rsidRDefault="0011079F" w:rsidP="007E78CA">
          <w:pPr>
            <w:pStyle w:val="TOCHeading"/>
            <w:spacing w:after="60"/>
            <w:rPr>
              <w:rFonts w:ascii="Arial" w:hAnsi="Arial" w:cs="Arial"/>
              <w:color w:val="185A7D"/>
            </w:rPr>
          </w:pPr>
          <w:r w:rsidRPr="0011079F">
            <w:rPr>
              <w:rFonts w:ascii="Arial" w:hAnsi="Arial" w:cs="Arial"/>
              <w:color w:val="185A7D"/>
            </w:rPr>
            <w:t>Table of contents</w:t>
          </w:r>
        </w:p>
        <w:p w14:paraId="64CF90C1" w14:textId="2CE7320E" w:rsidR="00E143EB" w:rsidRDefault="0011079F">
          <w:pPr>
            <w:pStyle w:val="TOC3"/>
            <w:rPr>
              <w:rFonts w:asciiTheme="minorHAnsi" w:hAnsiTheme="minorHAnsi" w:cstheme="minorBidi"/>
              <w:noProof/>
              <w:kern w:val="2"/>
              <w:sz w:val="22"/>
              <w:szCs w:val="22"/>
              <w:lang w:eastAsia="ja-JP"/>
              <w14:ligatures w14:val="standardContextual"/>
            </w:rPr>
          </w:pPr>
          <w:r w:rsidRPr="00776988">
            <w:rPr>
              <w:rFonts w:cs="Arial"/>
            </w:rPr>
            <w:fldChar w:fldCharType="begin"/>
          </w:r>
          <w:r w:rsidRPr="00776988">
            <w:rPr>
              <w:rFonts w:cs="Arial"/>
            </w:rPr>
            <w:instrText xml:space="preserve"> TOC \o "1-3" \h \z \u </w:instrText>
          </w:r>
          <w:r w:rsidRPr="00776988">
            <w:rPr>
              <w:rFonts w:cs="Arial"/>
            </w:rPr>
            <w:fldChar w:fldCharType="separate"/>
          </w:r>
          <w:hyperlink w:anchor="_Toc152919603" w:history="1">
            <w:r w:rsidR="00E143EB" w:rsidRPr="007C4A19">
              <w:rPr>
                <w:rStyle w:val="Hyperlink"/>
                <w:rFonts w:cs="Arial"/>
                <w:b/>
                <w:noProof/>
              </w:rPr>
              <w:t>Foreword</w:t>
            </w:r>
            <w:r w:rsidR="00E143EB">
              <w:rPr>
                <w:noProof/>
                <w:webHidden/>
              </w:rPr>
              <w:tab/>
            </w:r>
            <w:r w:rsidR="00E143EB">
              <w:rPr>
                <w:noProof/>
                <w:webHidden/>
              </w:rPr>
              <w:fldChar w:fldCharType="begin"/>
            </w:r>
            <w:r w:rsidR="00E143EB">
              <w:rPr>
                <w:noProof/>
                <w:webHidden/>
              </w:rPr>
              <w:instrText xml:space="preserve"> PAGEREF _Toc152919603 \h </w:instrText>
            </w:r>
            <w:r w:rsidR="00E143EB">
              <w:rPr>
                <w:noProof/>
                <w:webHidden/>
              </w:rPr>
            </w:r>
            <w:r w:rsidR="00E143EB">
              <w:rPr>
                <w:noProof/>
                <w:webHidden/>
              </w:rPr>
              <w:fldChar w:fldCharType="separate"/>
            </w:r>
            <w:r w:rsidR="00E143EB">
              <w:rPr>
                <w:noProof/>
                <w:webHidden/>
              </w:rPr>
              <w:t>3</w:t>
            </w:r>
            <w:r w:rsidR="00E143EB">
              <w:rPr>
                <w:noProof/>
                <w:webHidden/>
              </w:rPr>
              <w:fldChar w:fldCharType="end"/>
            </w:r>
          </w:hyperlink>
        </w:p>
        <w:p w14:paraId="09F11C66" w14:textId="5908A38F" w:rsidR="00E143EB" w:rsidRDefault="00E143EB">
          <w:pPr>
            <w:pStyle w:val="TOC3"/>
            <w:rPr>
              <w:rFonts w:asciiTheme="minorHAnsi" w:hAnsiTheme="minorHAnsi" w:cstheme="minorBidi"/>
              <w:noProof/>
              <w:kern w:val="2"/>
              <w:sz w:val="22"/>
              <w:szCs w:val="22"/>
              <w:lang w:eastAsia="ja-JP"/>
              <w14:ligatures w14:val="standardContextual"/>
            </w:rPr>
          </w:pPr>
          <w:hyperlink w:anchor="_Toc152919604" w:history="1">
            <w:r w:rsidRPr="007C4A19">
              <w:rPr>
                <w:rStyle w:val="Hyperlink"/>
                <w:rFonts w:cs="Arial"/>
                <w:b/>
                <w:noProof/>
              </w:rPr>
              <w:t>About the SBDC</w:t>
            </w:r>
            <w:r>
              <w:rPr>
                <w:noProof/>
                <w:webHidden/>
              </w:rPr>
              <w:tab/>
            </w:r>
            <w:r>
              <w:rPr>
                <w:noProof/>
                <w:webHidden/>
              </w:rPr>
              <w:fldChar w:fldCharType="begin"/>
            </w:r>
            <w:r>
              <w:rPr>
                <w:noProof/>
                <w:webHidden/>
              </w:rPr>
              <w:instrText xml:space="preserve"> PAGEREF _Toc152919604 \h </w:instrText>
            </w:r>
            <w:r>
              <w:rPr>
                <w:noProof/>
                <w:webHidden/>
              </w:rPr>
            </w:r>
            <w:r>
              <w:rPr>
                <w:noProof/>
                <w:webHidden/>
              </w:rPr>
              <w:fldChar w:fldCharType="separate"/>
            </w:r>
            <w:r>
              <w:rPr>
                <w:noProof/>
                <w:webHidden/>
              </w:rPr>
              <w:t>3</w:t>
            </w:r>
            <w:r>
              <w:rPr>
                <w:noProof/>
                <w:webHidden/>
              </w:rPr>
              <w:fldChar w:fldCharType="end"/>
            </w:r>
          </w:hyperlink>
        </w:p>
        <w:p w14:paraId="01DB3832" w14:textId="5B92B47A" w:rsidR="00E143EB" w:rsidRDefault="00E143EB">
          <w:pPr>
            <w:pStyle w:val="TOC3"/>
            <w:rPr>
              <w:rFonts w:asciiTheme="minorHAnsi" w:hAnsiTheme="minorHAnsi" w:cstheme="minorBidi"/>
              <w:noProof/>
              <w:kern w:val="2"/>
              <w:sz w:val="22"/>
              <w:szCs w:val="22"/>
              <w:lang w:eastAsia="ja-JP"/>
              <w14:ligatures w14:val="standardContextual"/>
            </w:rPr>
          </w:pPr>
          <w:hyperlink w:anchor="_Toc152919605" w:history="1">
            <w:r w:rsidRPr="007C4A19">
              <w:rPr>
                <w:rStyle w:val="Hyperlink"/>
                <w:rFonts w:cs="Arial"/>
                <w:b/>
                <w:noProof/>
              </w:rPr>
              <w:t>Agency structure</w:t>
            </w:r>
            <w:r>
              <w:rPr>
                <w:noProof/>
                <w:webHidden/>
              </w:rPr>
              <w:tab/>
            </w:r>
            <w:r>
              <w:rPr>
                <w:noProof/>
                <w:webHidden/>
              </w:rPr>
              <w:fldChar w:fldCharType="begin"/>
            </w:r>
            <w:r>
              <w:rPr>
                <w:noProof/>
                <w:webHidden/>
              </w:rPr>
              <w:instrText xml:space="preserve"> PAGEREF _Toc152919605 \h </w:instrText>
            </w:r>
            <w:r>
              <w:rPr>
                <w:noProof/>
                <w:webHidden/>
              </w:rPr>
            </w:r>
            <w:r>
              <w:rPr>
                <w:noProof/>
                <w:webHidden/>
              </w:rPr>
              <w:fldChar w:fldCharType="separate"/>
            </w:r>
            <w:r>
              <w:rPr>
                <w:noProof/>
                <w:webHidden/>
              </w:rPr>
              <w:t>3</w:t>
            </w:r>
            <w:r>
              <w:rPr>
                <w:noProof/>
                <w:webHidden/>
              </w:rPr>
              <w:fldChar w:fldCharType="end"/>
            </w:r>
          </w:hyperlink>
        </w:p>
        <w:p w14:paraId="5207800C" w14:textId="2B3BD1EB" w:rsidR="00E143EB" w:rsidRDefault="00E143EB">
          <w:pPr>
            <w:pStyle w:val="TOC3"/>
            <w:rPr>
              <w:rFonts w:asciiTheme="minorHAnsi" w:hAnsiTheme="minorHAnsi" w:cstheme="minorBidi"/>
              <w:noProof/>
              <w:kern w:val="2"/>
              <w:sz w:val="22"/>
              <w:szCs w:val="22"/>
              <w:lang w:eastAsia="ja-JP"/>
              <w14:ligatures w14:val="standardContextual"/>
            </w:rPr>
          </w:pPr>
          <w:hyperlink w:anchor="_Toc152919606" w:history="1">
            <w:r w:rsidRPr="007C4A19">
              <w:rPr>
                <w:rStyle w:val="Hyperlink"/>
                <w:rFonts w:cs="Arial"/>
                <w:b/>
                <w:noProof/>
              </w:rPr>
              <w:t>Access to information</w:t>
            </w:r>
            <w:r>
              <w:rPr>
                <w:noProof/>
                <w:webHidden/>
              </w:rPr>
              <w:tab/>
            </w:r>
            <w:r>
              <w:rPr>
                <w:noProof/>
                <w:webHidden/>
              </w:rPr>
              <w:fldChar w:fldCharType="begin"/>
            </w:r>
            <w:r>
              <w:rPr>
                <w:noProof/>
                <w:webHidden/>
              </w:rPr>
              <w:instrText xml:space="preserve"> PAGEREF _Toc152919606 \h </w:instrText>
            </w:r>
            <w:r>
              <w:rPr>
                <w:noProof/>
                <w:webHidden/>
              </w:rPr>
            </w:r>
            <w:r>
              <w:rPr>
                <w:noProof/>
                <w:webHidden/>
              </w:rPr>
              <w:fldChar w:fldCharType="separate"/>
            </w:r>
            <w:r>
              <w:rPr>
                <w:noProof/>
                <w:webHidden/>
              </w:rPr>
              <w:t>5</w:t>
            </w:r>
            <w:r>
              <w:rPr>
                <w:noProof/>
                <w:webHidden/>
              </w:rPr>
              <w:fldChar w:fldCharType="end"/>
            </w:r>
          </w:hyperlink>
        </w:p>
        <w:p w14:paraId="04C83ACF" w14:textId="1105A76F" w:rsidR="00E143EB" w:rsidRDefault="00E143EB">
          <w:pPr>
            <w:pStyle w:val="TOC3"/>
            <w:rPr>
              <w:rFonts w:asciiTheme="minorHAnsi" w:hAnsiTheme="minorHAnsi" w:cstheme="minorBidi"/>
              <w:noProof/>
              <w:kern w:val="2"/>
              <w:sz w:val="22"/>
              <w:szCs w:val="22"/>
              <w:lang w:eastAsia="ja-JP"/>
              <w14:ligatures w14:val="standardContextual"/>
            </w:rPr>
          </w:pPr>
          <w:hyperlink w:anchor="_Toc152919607" w:history="1">
            <w:r w:rsidRPr="007C4A19">
              <w:rPr>
                <w:rStyle w:val="Hyperlink"/>
                <w:rFonts w:cs="Arial"/>
                <w:b/>
                <w:noProof/>
              </w:rPr>
              <w:t>FOI applications</w:t>
            </w:r>
            <w:r>
              <w:rPr>
                <w:noProof/>
                <w:webHidden/>
              </w:rPr>
              <w:tab/>
            </w:r>
            <w:r>
              <w:rPr>
                <w:noProof/>
                <w:webHidden/>
              </w:rPr>
              <w:fldChar w:fldCharType="begin"/>
            </w:r>
            <w:r>
              <w:rPr>
                <w:noProof/>
                <w:webHidden/>
              </w:rPr>
              <w:instrText xml:space="preserve"> PAGEREF _Toc152919607 \h </w:instrText>
            </w:r>
            <w:r>
              <w:rPr>
                <w:noProof/>
                <w:webHidden/>
              </w:rPr>
            </w:r>
            <w:r>
              <w:rPr>
                <w:noProof/>
                <w:webHidden/>
              </w:rPr>
              <w:fldChar w:fldCharType="separate"/>
            </w:r>
            <w:r>
              <w:rPr>
                <w:noProof/>
                <w:webHidden/>
              </w:rPr>
              <w:t>5</w:t>
            </w:r>
            <w:r>
              <w:rPr>
                <w:noProof/>
                <w:webHidden/>
              </w:rPr>
              <w:fldChar w:fldCharType="end"/>
            </w:r>
          </w:hyperlink>
        </w:p>
        <w:p w14:paraId="1084D7A4" w14:textId="7271BEA5" w:rsidR="00E143EB" w:rsidRDefault="00E143EB">
          <w:pPr>
            <w:pStyle w:val="TOC3"/>
            <w:rPr>
              <w:rFonts w:asciiTheme="minorHAnsi" w:hAnsiTheme="minorHAnsi" w:cstheme="minorBidi"/>
              <w:noProof/>
              <w:kern w:val="2"/>
              <w:sz w:val="22"/>
              <w:szCs w:val="22"/>
              <w:lang w:eastAsia="ja-JP"/>
              <w14:ligatures w14:val="standardContextual"/>
            </w:rPr>
          </w:pPr>
          <w:hyperlink w:anchor="_Toc152919608" w:history="1">
            <w:r w:rsidRPr="007C4A19">
              <w:rPr>
                <w:rStyle w:val="Hyperlink"/>
                <w:rFonts w:cs="Arial"/>
                <w:b/>
                <w:noProof/>
              </w:rPr>
              <w:t>Amendment of personal information</w:t>
            </w:r>
            <w:r>
              <w:rPr>
                <w:noProof/>
                <w:webHidden/>
              </w:rPr>
              <w:tab/>
            </w:r>
            <w:r>
              <w:rPr>
                <w:noProof/>
                <w:webHidden/>
              </w:rPr>
              <w:fldChar w:fldCharType="begin"/>
            </w:r>
            <w:r>
              <w:rPr>
                <w:noProof/>
                <w:webHidden/>
              </w:rPr>
              <w:instrText xml:space="preserve"> PAGEREF _Toc152919608 \h </w:instrText>
            </w:r>
            <w:r>
              <w:rPr>
                <w:noProof/>
                <w:webHidden/>
              </w:rPr>
            </w:r>
            <w:r>
              <w:rPr>
                <w:noProof/>
                <w:webHidden/>
              </w:rPr>
              <w:fldChar w:fldCharType="separate"/>
            </w:r>
            <w:r>
              <w:rPr>
                <w:noProof/>
                <w:webHidden/>
              </w:rPr>
              <w:t>6</w:t>
            </w:r>
            <w:r>
              <w:rPr>
                <w:noProof/>
                <w:webHidden/>
              </w:rPr>
              <w:fldChar w:fldCharType="end"/>
            </w:r>
          </w:hyperlink>
        </w:p>
        <w:p w14:paraId="53516A25" w14:textId="2E8236B5" w:rsidR="00E143EB" w:rsidRDefault="00E143EB">
          <w:pPr>
            <w:pStyle w:val="TOC3"/>
            <w:rPr>
              <w:rFonts w:asciiTheme="minorHAnsi" w:hAnsiTheme="minorHAnsi" w:cstheme="minorBidi"/>
              <w:noProof/>
              <w:kern w:val="2"/>
              <w:sz w:val="22"/>
              <w:szCs w:val="22"/>
              <w:lang w:eastAsia="ja-JP"/>
              <w14:ligatures w14:val="standardContextual"/>
            </w:rPr>
          </w:pPr>
          <w:hyperlink w:anchor="_Toc152919609" w:history="1">
            <w:r w:rsidRPr="007C4A19">
              <w:rPr>
                <w:rStyle w:val="Hyperlink"/>
                <w:rFonts w:cs="Arial"/>
                <w:b/>
                <w:noProof/>
              </w:rPr>
              <w:t>Freedom of Information charges</w:t>
            </w:r>
            <w:r>
              <w:rPr>
                <w:noProof/>
                <w:webHidden/>
              </w:rPr>
              <w:tab/>
            </w:r>
            <w:r>
              <w:rPr>
                <w:noProof/>
                <w:webHidden/>
              </w:rPr>
              <w:fldChar w:fldCharType="begin"/>
            </w:r>
            <w:r>
              <w:rPr>
                <w:noProof/>
                <w:webHidden/>
              </w:rPr>
              <w:instrText xml:space="preserve"> PAGEREF _Toc152919609 \h </w:instrText>
            </w:r>
            <w:r>
              <w:rPr>
                <w:noProof/>
                <w:webHidden/>
              </w:rPr>
            </w:r>
            <w:r>
              <w:rPr>
                <w:noProof/>
                <w:webHidden/>
              </w:rPr>
              <w:fldChar w:fldCharType="separate"/>
            </w:r>
            <w:r>
              <w:rPr>
                <w:noProof/>
                <w:webHidden/>
              </w:rPr>
              <w:t>7</w:t>
            </w:r>
            <w:r>
              <w:rPr>
                <w:noProof/>
                <w:webHidden/>
              </w:rPr>
              <w:fldChar w:fldCharType="end"/>
            </w:r>
          </w:hyperlink>
        </w:p>
        <w:p w14:paraId="7561F6CA" w14:textId="5FCE31B4" w:rsidR="00E143EB" w:rsidRDefault="00E143EB">
          <w:pPr>
            <w:pStyle w:val="TOC3"/>
            <w:rPr>
              <w:rFonts w:asciiTheme="minorHAnsi" w:hAnsiTheme="minorHAnsi" w:cstheme="minorBidi"/>
              <w:noProof/>
              <w:kern w:val="2"/>
              <w:sz w:val="22"/>
              <w:szCs w:val="22"/>
              <w:lang w:eastAsia="ja-JP"/>
              <w14:ligatures w14:val="standardContextual"/>
            </w:rPr>
          </w:pPr>
          <w:hyperlink w:anchor="_Toc152919610" w:history="1">
            <w:r w:rsidRPr="007C4A19">
              <w:rPr>
                <w:rStyle w:val="Hyperlink"/>
                <w:rFonts w:cs="Arial"/>
                <w:b/>
                <w:noProof/>
              </w:rPr>
              <w:t>Notice of decision</w:t>
            </w:r>
            <w:r>
              <w:rPr>
                <w:noProof/>
                <w:webHidden/>
              </w:rPr>
              <w:tab/>
            </w:r>
            <w:r>
              <w:rPr>
                <w:noProof/>
                <w:webHidden/>
              </w:rPr>
              <w:fldChar w:fldCharType="begin"/>
            </w:r>
            <w:r>
              <w:rPr>
                <w:noProof/>
                <w:webHidden/>
              </w:rPr>
              <w:instrText xml:space="preserve"> PAGEREF _Toc152919610 \h </w:instrText>
            </w:r>
            <w:r>
              <w:rPr>
                <w:noProof/>
                <w:webHidden/>
              </w:rPr>
            </w:r>
            <w:r>
              <w:rPr>
                <w:noProof/>
                <w:webHidden/>
              </w:rPr>
              <w:fldChar w:fldCharType="separate"/>
            </w:r>
            <w:r>
              <w:rPr>
                <w:noProof/>
                <w:webHidden/>
              </w:rPr>
              <w:t>7</w:t>
            </w:r>
            <w:r>
              <w:rPr>
                <w:noProof/>
                <w:webHidden/>
              </w:rPr>
              <w:fldChar w:fldCharType="end"/>
            </w:r>
          </w:hyperlink>
        </w:p>
        <w:p w14:paraId="4A458C0F" w14:textId="71F4EDA7" w:rsidR="00E143EB" w:rsidRDefault="00E143EB">
          <w:pPr>
            <w:pStyle w:val="TOC3"/>
            <w:rPr>
              <w:rFonts w:asciiTheme="minorHAnsi" w:hAnsiTheme="minorHAnsi" w:cstheme="minorBidi"/>
              <w:noProof/>
              <w:kern w:val="2"/>
              <w:sz w:val="22"/>
              <w:szCs w:val="22"/>
              <w:lang w:eastAsia="ja-JP"/>
              <w14:ligatures w14:val="standardContextual"/>
            </w:rPr>
          </w:pPr>
          <w:hyperlink w:anchor="_Toc152919611" w:history="1">
            <w:r w:rsidRPr="007C4A19">
              <w:rPr>
                <w:rStyle w:val="Hyperlink"/>
                <w:rFonts w:cs="Arial"/>
                <w:b/>
                <w:noProof/>
              </w:rPr>
              <w:t>Refusal of access and internal reviews</w:t>
            </w:r>
            <w:r>
              <w:rPr>
                <w:noProof/>
                <w:webHidden/>
              </w:rPr>
              <w:tab/>
            </w:r>
            <w:r>
              <w:rPr>
                <w:noProof/>
                <w:webHidden/>
              </w:rPr>
              <w:fldChar w:fldCharType="begin"/>
            </w:r>
            <w:r>
              <w:rPr>
                <w:noProof/>
                <w:webHidden/>
              </w:rPr>
              <w:instrText xml:space="preserve"> PAGEREF _Toc152919611 \h </w:instrText>
            </w:r>
            <w:r>
              <w:rPr>
                <w:noProof/>
                <w:webHidden/>
              </w:rPr>
            </w:r>
            <w:r>
              <w:rPr>
                <w:noProof/>
                <w:webHidden/>
              </w:rPr>
              <w:fldChar w:fldCharType="separate"/>
            </w:r>
            <w:r>
              <w:rPr>
                <w:noProof/>
                <w:webHidden/>
              </w:rPr>
              <w:t>7</w:t>
            </w:r>
            <w:r>
              <w:rPr>
                <w:noProof/>
                <w:webHidden/>
              </w:rPr>
              <w:fldChar w:fldCharType="end"/>
            </w:r>
          </w:hyperlink>
        </w:p>
        <w:p w14:paraId="691AEBD8" w14:textId="428A420E" w:rsidR="00E143EB" w:rsidRDefault="00E143EB">
          <w:pPr>
            <w:pStyle w:val="TOC3"/>
            <w:rPr>
              <w:rFonts w:asciiTheme="minorHAnsi" w:hAnsiTheme="minorHAnsi" w:cstheme="minorBidi"/>
              <w:noProof/>
              <w:kern w:val="2"/>
              <w:sz w:val="22"/>
              <w:szCs w:val="22"/>
              <w:lang w:eastAsia="ja-JP"/>
              <w14:ligatures w14:val="standardContextual"/>
            </w:rPr>
          </w:pPr>
          <w:hyperlink w:anchor="_Toc152919612" w:history="1">
            <w:r w:rsidRPr="007C4A19">
              <w:rPr>
                <w:rStyle w:val="Hyperlink"/>
                <w:rFonts w:cs="Arial"/>
                <w:b/>
                <w:noProof/>
              </w:rPr>
              <w:t>External review</w:t>
            </w:r>
            <w:r>
              <w:rPr>
                <w:noProof/>
                <w:webHidden/>
              </w:rPr>
              <w:tab/>
            </w:r>
            <w:r>
              <w:rPr>
                <w:noProof/>
                <w:webHidden/>
              </w:rPr>
              <w:fldChar w:fldCharType="begin"/>
            </w:r>
            <w:r>
              <w:rPr>
                <w:noProof/>
                <w:webHidden/>
              </w:rPr>
              <w:instrText xml:space="preserve"> PAGEREF _Toc152919612 \h </w:instrText>
            </w:r>
            <w:r>
              <w:rPr>
                <w:noProof/>
                <w:webHidden/>
              </w:rPr>
            </w:r>
            <w:r>
              <w:rPr>
                <w:noProof/>
                <w:webHidden/>
              </w:rPr>
              <w:fldChar w:fldCharType="separate"/>
            </w:r>
            <w:r>
              <w:rPr>
                <w:noProof/>
                <w:webHidden/>
              </w:rPr>
              <w:t>8</w:t>
            </w:r>
            <w:r>
              <w:rPr>
                <w:noProof/>
                <w:webHidden/>
              </w:rPr>
              <w:fldChar w:fldCharType="end"/>
            </w:r>
          </w:hyperlink>
        </w:p>
        <w:p w14:paraId="6EAE2CE1" w14:textId="48D6B9D9" w:rsidR="0011079F" w:rsidRDefault="0011079F">
          <w:pPr>
            <w:rPr>
              <w:rFonts w:cs="Arial"/>
            </w:rPr>
          </w:pPr>
          <w:r w:rsidRPr="00776988">
            <w:rPr>
              <w:rFonts w:cs="Arial"/>
            </w:rPr>
            <w:fldChar w:fldCharType="end"/>
          </w:r>
        </w:p>
      </w:sdtContent>
    </w:sdt>
    <w:p w14:paraId="2AFCACF9" w14:textId="77777777" w:rsidR="0011079F" w:rsidRDefault="0011079F">
      <w:pPr>
        <w:rPr>
          <w:rFonts w:cs="Arial"/>
        </w:rPr>
      </w:pPr>
      <w:r>
        <w:rPr>
          <w:rFonts w:cs="Arial"/>
        </w:rPr>
        <w:br w:type="page"/>
      </w:r>
    </w:p>
    <w:p w14:paraId="3A84A267" w14:textId="77777777" w:rsidR="0011079F" w:rsidRPr="007E78CA" w:rsidRDefault="0011079F" w:rsidP="007E78CA">
      <w:pPr>
        <w:pStyle w:val="Heading3"/>
        <w:spacing w:after="120"/>
        <w:rPr>
          <w:rFonts w:ascii="Arial" w:hAnsi="Arial" w:cs="Arial"/>
          <w:b/>
          <w:color w:val="185A7D"/>
          <w:sz w:val="32"/>
          <w:szCs w:val="32"/>
        </w:rPr>
      </w:pPr>
      <w:bookmarkStart w:id="0" w:name="_Toc431456560"/>
      <w:bookmarkStart w:id="1" w:name="_Toc152919603"/>
      <w:r w:rsidRPr="007E78CA">
        <w:rPr>
          <w:rFonts w:ascii="Arial" w:hAnsi="Arial" w:cs="Arial"/>
          <w:b/>
          <w:color w:val="185A7D"/>
          <w:sz w:val="32"/>
          <w:szCs w:val="32"/>
        </w:rPr>
        <w:lastRenderedPageBreak/>
        <w:t>Foreword</w:t>
      </w:r>
      <w:bookmarkEnd w:id="0"/>
      <w:bookmarkEnd w:id="1"/>
    </w:p>
    <w:p w14:paraId="0D570A02" w14:textId="77777777" w:rsidR="0011079F" w:rsidRPr="007E78CA" w:rsidRDefault="0011079F" w:rsidP="0011079F">
      <w:pPr>
        <w:rPr>
          <w:rFonts w:ascii="Arial" w:hAnsi="Arial" w:cs="Arial"/>
          <w:sz w:val="24"/>
          <w:szCs w:val="24"/>
        </w:rPr>
      </w:pPr>
      <w:r w:rsidRPr="007E78CA">
        <w:rPr>
          <w:rFonts w:ascii="Arial" w:hAnsi="Arial" w:cs="Arial"/>
          <w:sz w:val="24"/>
          <w:szCs w:val="24"/>
        </w:rPr>
        <w:t xml:space="preserve">This statement may assist potential applicants in directing their Freedom of Information (FOI) application to the correct agency. If the Small Business Development Corporation’s (SBDC) information statement does not list the kind of documents the applicant is seeking, they may </w:t>
      </w:r>
      <w:r w:rsidR="00900CF9">
        <w:rPr>
          <w:rFonts w:ascii="Arial" w:hAnsi="Arial" w:cs="Arial"/>
          <w:sz w:val="24"/>
          <w:szCs w:val="24"/>
        </w:rPr>
        <w:br/>
      </w:r>
      <w:r w:rsidRPr="007E78CA">
        <w:rPr>
          <w:rFonts w:ascii="Arial" w:hAnsi="Arial" w:cs="Arial"/>
          <w:sz w:val="24"/>
          <w:szCs w:val="24"/>
        </w:rPr>
        <w:t>need to pursue their enquiries with another agency.</w:t>
      </w:r>
    </w:p>
    <w:p w14:paraId="5F27B83B" w14:textId="77777777" w:rsidR="0011079F" w:rsidRPr="007E78CA" w:rsidRDefault="0011079F" w:rsidP="007E78CA">
      <w:pPr>
        <w:pStyle w:val="Heading3"/>
        <w:spacing w:after="120"/>
        <w:rPr>
          <w:rFonts w:ascii="Arial" w:hAnsi="Arial" w:cs="Arial"/>
          <w:b/>
          <w:color w:val="185A7D"/>
          <w:sz w:val="32"/>
          <w:szCs w:val="32"/>
        </w:rPr>
      </w:pPr>
      <w:bookmarkStart w:id="2" w:name="_Toc431456561"/>
      <w:bookmarkStart w:id="3" w:name="_Toc152919604"/>
      <w:r w:rsidRPr="007E78CA">
        <w:rPr>
          <w:rFonts w:ascii="Arial" w:hAnsi="Arial" w:cs="Arial"/>
          <w:b/>
          <w:color w:val="185A7D"/>
          <w:sz w:val="32"/>
          <w:szCs w:val="32"/>
        </w:rPr>
        <w:t>About the SBDC</w:t>
      </w:r>
      <w:bookmarkEnd w:id="2"/>
      <w:bookmarkEnd w:id="3"/>
    </w:p>
    <w:p w14:paraId="11D3908B" w14:textId="77777777" w:rsidR="0011079F" w:rsidRPr="007E78CA" w:rsidRDefault="0011079F" w:rsidP="0011079F">
      <w:pPr>
        <w:spacing w:after="0"/>
        <w:rPr>
          <w:rFonts w:ascii="Arial" w:hAnsi="Arial" w:cs="Arial"/>
          <w:b/>
          <w:sz w:val="24"/>
          <w:szCs w:val="24"/>
        </w:rPr>
      </w:pPr>
      <w:r w:rsidRPr="007E78CA">
        <w:rPr>
          <w:rFonts w:ascii="Arial" w:hAnsi="Arial" w:cs="Arial"/>
          <w:b/>
          <w:sz w:val="24"/>
          <w:szCs w:val="24"/>
        </w:rPr>
        <w:t>Mission</w:t>
      </w:r>
    </w:p>
    <w:p w14:paraId="7C5CE78E" w14:textId="6DE2C692" w:rsidR="0011079F" w:rsidRPr="007E78CA" w:rsidRDefault="0099671B" w:rsidP="0011079F">
      <w:pPr>
        <w:rPr>
          <w:rFonts w:ascii="Arial" w:hAnsi="Arial" w:cs="Arial"/>
          <w:sz w:val="24"/>
          <w:szCs w:val="24"/>
        </w:rPr>
      </w:pPr>
      <w:r>
        <w:rPr>
          <w:rFonts w:ascii="Arial" w:hAnsi="Arial" w:cs="Arial"/>
          <w:sz w:val="24"/>
          <w:szCs w:val="24"/>
        </w:rPr>
        <w:t>Deliver and facilitate relevant, practical support to small business and advocate on their behalf.</w:t>
      </w:r>
    </w:p>
    <w:p w14:paraId="132C223B" w14:textId="77777777" w:rsidR="0011079F" w:rsidRPr="007E78CA" w:rsidRDefault="0011079F" w:rsidP="0011079F">
      <w:pPr>
        <w:spacing w:after="0"/>
        <w:rPr>
          <w:rFonts w:ascii="Arial" w:hAnsi="Arial" w:cs="Arial"/>
          <w:b/>
          <w:sz w:val="24"/>
          <w:szCs w:val="24"/>
        </w:rPr>
      </w:pPr>
      <w:r w:rsidRPr="007E78CA">
        <w:rPr>
          <w:rFonts w:ascii="Arial" w:hAnsi="Arial" w:cs="Arial"/>
          <w:b/>
          <w:sz w:val="24"/>
          <w:szCs w:val="24"/>
        </w:rPr>
        <w:t xml:space="preserve">Legislation </w:t>
      </w:r>
      <w:proofErr w:type="gramStart"/>
      <w:r w:rsidRPr="007E78CA">
        <w:rPr>
          <w:rFonts w:ascii="Arial" w:hAnsi="Arial" w:cs="Arial"/>
          <w:b/>
          <w:sz w:val="24"/>
          <w:szCs w:val="24"/>
        </w:rPr>
        <w:t>administered</w:t>
      </w:r>
      <w:proofErr w:type="gramEnd"/>
    </w:p>
    <w:p w14:paraId="1F29FDCA" w14:textId="77777777" w:rsidR="0011079F" w:rsidRPr="007E78CA" w:rsidRDefault="0011079F" w:rsidP="0011079F">
      <w:pPr>
        <w:rPr>
          <w:rFonts w:ascii="Arial" w:hAnsi="Arial" w:cs="Arial"/>
          <w:i/>
          <w:sz w:val="24"/>
          <w:szCs w:val="24"/>
        </w:rPr>
      </w:pPr>
      <w:r w:rsidRPr="007E78CA">
        <w:rPr>
          <w:rFonts w:ascii="Arial" w:hAnsi="Arial" w:cs="Arial"/>
          <w:sz w:val="24"/>
          <w:szCs w:val="24"/>
        </w:rPr>
        <w:t xml:space="preserve">The SBDC is an independent statutory authority, established in 1984 under the </w:t>
      </w:r>
      <w:r w:rsidRPr="007E78CA">
        <w:rPr>
          <w:rFonts w:ascii="Arial" w:hAnsi="Arial" w:cs="Arial"/>
          <w:i/>
          <w:sz w:val="24"/>
          <w:szCs w:val="24"/>
        </w:rPr>
        <w:t>Small Business Development Corporation Act 1983.</w:t>
      </w:r>
    </w:p>
    <w:p w14:paraId="28F9E562" w14:textId="77777777" w:rsidR="0011079F" w:rsidRPr="007E78CA" w:rsidRDefault="0011079F" w:rsidP="007E78CA">
      <w:pPr>
        <w:pStyle w:val="Heading3"/>
        <w:spacing w:after="120"/>
        <w:rPr>
          <w:rFonts w:ascii="Arial" w:hAnsi="Arial" w:cs="Arial"/>
          <w:b/>
          <w:color w:val="185A7D"/>
          <w:sz w:val="32"/>
          <w:szCs w:val="32"/>
        </w:rPr>
      </w:pPr>
      <w:bookmarkStart w:id="4" w:name="_Toc431456562"/>
      <w:bookmarkStart w:id="5" w:name="_Toc152919605"/>
      <w:r w:rsidRPr="007E78CA">
        <w:rPr>
          <w:rFonts w:ascii="Arial" w:hAnsi="Arial" w:cs="Arial"/>
          <w:b/>
          <w:color w:val="185A7D"/>
          <w:sz w:val="32"/>
          <w:szCs w:val="32"/>
        </w:rPr>
        <w:t>Agency structure</w:t>
      </w:r>
      <w:bookmarkEnd w:id="4"/>
      <w:bookmarkEnd w:id="5"/>
    </w:p>
    <w:p w14:paraId="15E1A085" w14:textId="77777777" w:rsidR="0011079F" w:rsidRPr="007E78CA" w:rsidRDefault="0011079F" w:rsidP="0011079F">
      <w:pPr>
        <w:spacing w:after="0"/>
        <w:rPr>
          <w:rFonts w:ascii="Arial" w:hAnsi="Arial" w:cs="Arial"/>
          <w:b/>
          <w:sz w:val="24"/>
          <w:szCs w:val="24"/>
        </w:rPr>
      </w:pPr>
      <w:r w:rsidRPr="007E78CA">
        <w:rPr>
          <w:rFonts w:ascii="Arial" w:hAnsi="Arial" w:cs="Arial"/>
          <w:b/>
          <w:sz w:val="24"/>
          <w:szCs w:val="24"/>
        </w:rPr>
        <w:t>SBDC board</w:t>
      </w:r>
    </w:p>
    <w:p w14:paraId="0BD7BF79" w14:textId="77777777" w:rsidR="0011079F" w:rsidRPr="007E78CA" w:rsidRDefault="0011079F" w:rsidP="0011079F">
      <w:pPr>
        <w:rPr>
          <w:rFonts w:ascii="Arial" w:hAnsi="Arial" w:cs="Arial"/>
          <w:sz w:val="24"/>
          <w:szCs w:val="24"/>
        </w:rPr>
      </w:pPr>
      <w:r w:rsidRPr="007E78CA">
        <w:rPr>
          <w:rFonts w:ascii="Arial" w:hAnsi="Arial" w:cs="Arial"/>
          <w:sz w:val="24"/>
          <w:szCs w:val="24"/>
        </w:rPr>
        <w:t xml:space="preserve">The SBDC is governed by an independent board, drawn from the private sector under the auspices of the </w:t>
      </w:r>
      <w:r w:rsidRPr="007E78CA">
        <w:rPr>
          <w:rFonts w:ascii="Arial" w:hAnsi="Arial" w:cs="Arial"/>
          <w:i/>
          <w:sz w:val="24"/>
          <w:szCs w:val="24"/>
        </w:rPr>
        <w:t>Small Business Development Corporation Act 1983</w:t>
      </w:r>
      <w:r w:rsidRPr="007E78CA">
        <w:rPr>
          <w:rFonts w:ascii="Arial" w:hAnsi="Arial" w:cs="Arial"/>
          <w:sz w:val="24"/>
          <w:szCs w:val="24"/>
        </w:rPr>
        <w:t>.</w:t>
      </w:r>
    </w:p>
    <w:p w14:paraId="6ED93E6D" w14:textId="77777777" w:rsidR="0011079F" w:rsidRPr="007E78CA" w:rsidRDefault="0011079F" w:rsidP="0011079F">
      <w:pPr>
        <w:spacing w:after="0"/>
        <w:rPr>
          <w:rFonts w:ascii="Arial" w:hAnsi="Arial" w:cs="Arial"/>
          <w:b/>
          <w:sz w:val="24"/>
          <w:szCs w:val="24"/>
        </w:rPr>
      </w:pPr>
      <w:r w:rsidRPr="007E78CA">
        <w:rPr>
          <w:rFonts w:ascii="Arial" w:hAnsi="Arial" w:cs="Arial"/>
          <w:b/>
          <w:sz w:val="24"/>
          <w:szCs w:val="24"/>
        </w:rPr>
        <w:t>Small Business Commissioner</w:t>
      </w:r>
    </w:p>
    <w:p w14:paraId="1F3CC1A7" w14:textId="77777777" w:rsidR="0011079F" w:rsidRPr="007E78CA" w:rsidRDefault="0011079F" w:rsidP="0011079F">
      <w:pPr>
        <w:rPr>
          <w:rFonts w:ascii="Arial" w:hAnsi="Arial" w:cs="Arial"/>
          <w:sz w:val="24"/>
          <w:szCs w:val="24"/>
        </w:rPr>
      </w:pPr>
      <w:r w:rsidRPr="007E78CA">
        <w:rPr>
          <w:rFonts w:ascii="Arial" w:hAnsi="Arial" w:cs="Arial"/>
          <w:sz w:val="24"/>
          <w:szCs w:val="24"/>
        </w:rPr>
        <w:t>The SBDC’s operational functions are overseen by the Chief Executive Officer, who is also Western Australia’s Small Business Commissioner. This position reports to the board.</w:t>
      </w:r>
    </w:p>
    <w:p w14:paraId="68275046" w14:textId="77777777" w:rsidR="00774F00" w:rsidRDefault="00774F00" w:rsidP="0011079F">
      <w:pPr>
        <w:rPr>
          <w:rFonts w:cs="Arial"/>
        </w:rPr>
      </w:pPr>
    </w:p>
    <w:p w14:paraId="5612C1E0" w14:textId="77777777" w:rsidR="00E143EB" w:rsidRPr="00E143EB" w:rsidRDefault="00E143EB" w:rsidP="00E143EB">
      <w:pPr>
        <w:rPr>
          <w:rFonts w:cs="Arial"/>
        </w:rPr>
      </w:pPr>
    </w:p>
    <w:p w14:paraId="4CFBC147" w14:textId="77777777" w:rsidR="00E143EB" w:rsidRPr="00E143EB" w:rsidRDefault="00E143EB" w:rsidP="00E143EB">
      <w:pPr>
        <w:rPr>
          <w:rFonts w:cs="Arial"/>
        </w:rPr>
      </w:pPr>
    </w:p>
    <w:p w14:paraId="3FB60FC1" w14:textId="77777777" w:rsidR="00E143EB" w:rsidRPr="00E143EB" w:rsidRDefault="00E143EB" w:rsidP="00E143EB">
      <w:pPr>
        <w:rPr>
          <w:rFonts w:cs="Arial"/>
        </w:rPr>
      </w:pPr>
    </w:p>
    <w:p w14:paraId="4B368A9B" w14:textId="77777777" w:rsidR="00E143EB" w:rsidRPr="00E143EB" w:rsidRDefault="00E143EB" w:rsidP="00E143EB">
      <w:pPr>
        <w:rPr>
          <w:rFonts w:cs="Arial"/>
        </w:rPr>
      </w:pPr>
    </w:p>
    <w:p w14:paraId="1CDC7ED2" w14:textId="77777777" w:rsidR="00E143EB" w:rsidRPr="00E143EB" w:rsidRDefault="00E143EB" w:rsidP="00E143EB">
      <w:pPr>
        <w:rPr>
          <w:rFonts w:cs="Arial"/>
        </w:rPr>
      </w:pPr>
    </w:p>
    <w:p w14:paraId="7DE1F0AE" w14:textId="77777777" w:rsidR="00E143EB" w:rsidRPr="00E143EB" w:rsidRDefault="00E143EB" w:rsidP="00E143EB">
      <w:pPr>
        <w:rPr>
          <w:rFonts w:cs="Arial"/>
        </w:rPr>
      </w:pPr>
    </w:p>
    <w:p w14:paraId="79E4092F" w14:textId="77777777" w:rsidR="00E143EB" w:rsidRPr="00E143EB" w:rsidRDefault="00E143EB" w:rsidP="00E143EB">
      <w:pPr>
        <w:rPr>
          <w:rFonts w:cs="Arial"/>
        </w:rPr>
      </w:pPr>
    </w:p>
    <w:p w14:paraId="2D89C9F5" w14:textId="77777777" w:rsidR="00E143EB" w:rsidRPr="00E143EB" w:rsidRDefault="00E143EB" w:rsidP="00E143EB">
      <w:pPr>
        <w:rPr>
          <w:rFonts w:cs="Arial"/>
        </w:rPr>
      </w:pPr>
    </w:p>
    <w:p w14:paraId="46790FCA" w14:textId="77777777" w:rsidR="00E143EB" w:rsidRPr="00E143EB" w:rsidRDefault="00E143EB" w:rsidP="00E143EB">
      <w:pPr>
        <w:rPr>
          <w:rFonts w:cs="Arial"/>
        </w:rPr>
      </w:pPr>
    </w:p>
    <w:p w14:paraId="67D0E392" w14:textId="5F562997" w:rsidR="00E143EB" w:rsidRPr="00E143EB" w:rsidRDefault="00E143EB" w:rsidP="00E143EB">
      <w:pPr>
        <w:tabs>
          <w:tab w:val="center" w:pos="5233"/>
        </w:tabs>
        <w:rPr>
          <w:rFonts w:cs="Arial"/>
        </w:rPr>
        <w:sectPr w:rsidR="00E143EB" w:rsidRPr="00E143EB" w:rsidSect="0011079F">
          <w:headerReference w:type="default" r:id="rId7"/>
          <w:footerReference w:type="default" r:id="rId8"/>
          <w:pgSz w:w="11906" w:h="16838"/>
          <w:pgMar w:top="720" w:right="720" w:bottom="720" w:left="720" w:header="708" w:footer="708" w:gutter="0"/>
          <w:cols w:space="708"/>
          <w:docGrid w:linePitch="360"/>
        </w:sectPr>
      </w:pPr>
      <w:r>
        <w:rPr>
          <w:rFonts w:cs="Arial"/>
        </w:rPr>
        <w:tab/>
      </w:r>
    </w:p>
    <w:p w14:paraId="78DDE66D" w14:textId="5B7665AC" w:rsidR="00CF568A" w:rsidRDefault="0099671B" w:rsidP="00774F00">
      <w:pPr>
        <w:jc w:val="center"/>
        <w:rPr>
          <w:rFonts w:cs="Arial"/>
        </w:rPr>
      </w:pPr>
      <w:r>
        <w:rPr>
          <w:noProof/>
        </w:rPr>
        <w:lastRenderedPageBreak/>
        <w:drawing>
          <wp:inline distT="0" distB="0" distL="0" distR="0" wp14:anchorId="7229874C" wp14:editId="267B9908">
            <wp:extent cx="7915275" cy="5146702"/>
            <wp:effectExtent l="0" t="0" r="0" b="0"/>
            <wp:docPr id="3" name="Picture 2"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diagram of a company structur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1863" t="7512" r="2227" b="4156"/>
                    <a:stretch/>
                  </pic:blipFill>
                  <pic:spPr bwMode="auto">
                    <a:xfrm>
                      <a:off x="0" y="0"/>
                      <a:ext cx="7962070" cy="5177129"/>
                    </a:xfrm>
                    <a:prstGeom prst="rect">
                      <a:avLst/>
                    </a:prstGeom>
                    <a:noFill/>
                    <a:ln>
                      <a:noFill/>
                    </a:ln>
                    <a:extLst>
                      <a:ext uri="{53640926-AAD7-44D8-BBD7-CCE9431645EC}">
                        <a14:shadowObscured xmlns:a14="http://schemas.microsoft.com/office/drawing/2010/main"/>
                      </a:ext>
                    </a:extLst>
                  </pic:spPr>
                </pic:pic>
              </a:graphicData>
            </a:graphic>
          </wp:inline>
        </w:drawing>
      </w:r>
    </w:p>
    <w:p w14:paraId="0D4D8A28" w14:textId="77777777" w:rsidR="00774F00" w:rsidRDefault="00774F00" w:rsidP="0011079F">
      <w:pPr>
        <w:rPr>
          <w:rFonts w:cs="Arial"/>
        </w:rPr>
        <w:sectPr w:rsidR="00774F00" w:rsidSect="00774F00">
          <w:pgSz w:w="16838" w:h="11906" w:orient="landscape"/>
          <w:pgMar w:top="720" w:right="720" w:bottom="720" w:left="720" w:header="708" w:footer="708" w:gutter="0"/>
          <w:cols w:space="708"/>
          <w:docGrid w:linePitch="360"/>
        </w:sectPr>
      </w:pPr>
    </w:p>
    <w:p w14:paraId="73DDDDBA" w14:textId="4F9BFF5C" w:rsidR="00CF568A" w:rsidRPr="007E78CA" w:rsidRDefault="00CF568A" w:rsidP="007E78CA">
      <w:pPr>
        <w:spacing w:after="120"/>
        <w:rPr>
          <w:rFonts w:cs="Arial"/>
          <w:sz w:val="32"/>
          <w:szCs w:val="32"/>
        </w:rPr>
      </w:pPr>
      <w:bookmarkStart w:id="6" w:name="_Toc431456563"/>
      <w:r w:rsidRPr="007E78CA">
        <w:rPr>
          <w:rFonts w:ascii="Arial" w:hAnsi="Arial" w:cs="Arial"/>
          <w:b/>
          <w:color w:val="185A7D"/>
          <w:sz w:val="32"/>
          <w:szCs w:val="32"/>
        </w:rPr>
        <w:lastRenderedPageBreak/>
        <w:t>Freedom of Information</w:t>
      </w:r>
      <w:bookmarkEnd w:id="6"/>
      <w:r w:rsidRPr="007E78CA">
        <w:rPr>
          <w:rFonts w:ascii="Arial" w:hAnsi="Arial" w:cs="Arial"/>
          <w:b/>
          <w:color w:val="185A7D"/>
          <w:sz w:val="32"/>
          <w:szCs w:val="32"/>
        </w:rPr>
        <w:t xml:space="preserve"> (FOI)</w:t>
      </w:r>
    </w:p>
    <w:p w14:paraId="21902BC6" w14:textId="77777777" w:rsidR="00CF568A" w:rsidRPr="007E78CA" w:rsidRDefault="00CF568A" w:rsidP="007E78CA">
      <w:pPr>
        <w:spacing w:after="0"/>
        <w:rPr>
          <w:rFonts w:ascii="Arial" w:hAnsi="Arial" w:cs="Arial"/>
          <w:b/>
          <w:sz w:val="24"/>
          <w:szCs w:val="24"/>
        </w:rPr>
      </w:pPr>
      <w:r w:rsidRPr="007E78CA">
        <w:rPr>
          <w:rFonts w:ascii="Arial" w:hAnsi="Arial" w:cs="Arial"/>
          <w:b/>
          <w:sz w:val="24"/>
          <w:szCs w:val="24"/>
        </w:rPr>
        <w:t>Documents available outside FOI</w:t>
      </w:r>
    </w:p>
    <w:p w14:paraId="32EC0081" w14:textId="77777777" w:rsidR="00CF568A" w:rsidRPr="007E78CA" w:rsidRDefault="00CF568A" w:rsidP="007E78CA">
      <w:pPr>
        <w:spacing w:after="60"/>
        <w:rPr>
          <w:rFonts w:ascii="Arial" w:hAnsi="Arial" w:cs="Arial"/>
          <w:color w:val="5B9BD5" w:themeColor="accent1"/>
          <w:sz w:val="24"/>
          <w:szCs w:val="24"/>
        </w:rPr>
      </w:pPr>
      <w:r w:rsidRPr="007E78CA">
        <w:rPr>
          <w:rFonts w:ascii="Arial" w:hAnsi="Arial" w:cs="Arial"/>
          <w:sz w:val="24"/>
          <w:szCs w:val="24"/>
        </w:rPr>
        <w:t xml:space="preserve">The SBDC website has a number of publications and other information available at: </w:t>
      </w:r>
      <w:hyperlink r:id="rId10" w:history="1">
        <w:r w:rsidRPr="007E78CA">
          <w:rPr>
            <w:rStyle w:val="Hyperlink"/>
            <w:rFonts w:ascii="Arial" w:hAnsi="Arial" w:cs="Arial"/>
            <w:color w:val="2E74B5" w:themeColor="accent1" w:themeShade="BF"/>
            <w:sz w:val="24"/>
            <w:szCs w:val="24"/>
          </w:rPr>
          <w:t>www.smallbusiness.wa.gov.au</w:t>
        </w:r>
      </w:hyperlink>
    </w:p>
    <w:p w14:paraId="22DC29D6" w14:textId="77777777" w:rsidR="00CF568A" w:rsidRPr="007E78CA" w:rsidRDefault="00CF568A" w:rsidP="007E78CA">
      <w:pPr>
        <w:spacing w:after="120"/>
        <w:rPr>
          <w:rFonts w:ascii="Arial" w:hAnsi="Arial" w:cs="Arial"/>
          <w:color w:val="AEAAAA" w:themeColor="background2" w:themeShade="BF"/>
          <w:sz w:val="24"/>
          <w:szCs w:val="24"/>
        </w:rPr>
      </w:pPr>
      <w:r w:rsidRPr="007E78CA">
        <w:rPr>
          <w:rFonts w:ascii="Arial" w:hAnsi="Arial" w:cs="Arial"/>
          <w:sz w:val="24"/>
          <w:szCs w:val="24"/>
        </w:rPr>
        <w:t xml:space="preserve">For information not available on the website, please email </w:t>
      </w:r>
      <w:hyperlink r:id="rId11" w:history="1">
        <w:r w:rsidRPr="007E78CA">
          <w:rPr>
            <w:rStyle w:val="Hyperlink"/>
            <w:rFonts w:ascii="Arial" w:hAnsi="Arial" w:cs="Arial"/>
            <w:sz w:val="24"/>
            <w:szCs w:val="24"/>
          </w:rPr>
          <w:t>infocentre@smallbusiness.wa.gov.au</w:t>
        </w:r>
      </w:hyperlink>
    </w:p>
    <w:p w14:paraId="733DA977" w14:textId="77777777" w:rsidR="00CF568A" w:rsidRPr="007E78CA" w:rsidRDefault="00CF568A" w:rsidP="007E78CA">
      <w:pPr>
        <w:spacing w:after="0"/>
        <w:rPr>
          <w:rFonts w:ascii="Arial" w:hAnsi="Arial" w:cs="Arial"/>
          <w:b/>
          <w:sz w:val="24"/>
          <w:szCs w:val="24"/>
        </w:rPr>
      </w:pPr>
      <w:r w:rsidRPr="007E78CA">
        <w:rPr>
          <w:rFonts w:ascii="Arial" w:hAnsi="Arial" w:cs="Arial"/>
          <w:b/>
          <w:sz w:val="24"/>
          <w:szCs w:val="24"/>
        </w:rPr>
        <w:t>Agency documents</w:t>
      </w:r>
    </w:p>
    <w:p w14:paraId="1F9B3950"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The SBDC’s corporate documents are predominantly held in electronic formats, however some hard copy information is stored. These corporate documents are recorded in the Corporation’s recordkeeping system.</w:t>
      </w:r>
    </w:p>
    <w:p w14:paraId="20F267F0" w14:textId="77777777" w:rsidR="00CF568A" w:rsidRPr="007E78CA" w:rsidRDefault="00CF568A" w:rsidP="007E78CA">
      <w:pPr>
        <w:spacing w:after="0"/>
        <w:rPr>
          <w:rFonts w:ascii="Arial" w:hAnsi="Arial" w:cs="Arial"/>
          <w:sz w:val="24"/>
          <w:szCs w:val="24"/>
        </w:rPr>
      </w:pPr>
      <w:r w:rsidRPr="007E78CA">
        <w:rPr>
          <w:rFonts w:ascii="Arial" w:hAnsi="Arial" w:cs="Arial"/>
          <w:sz w:val="24"/>
          <w:szCs w:val="24"/>
        </w:rPr>
        <w:t xml:space="preserve">The broad category of information available, but not necessarily accessible, under the </w:t>
      </w:r>
      <w:r w:rsidRPr="007E78CA">
        <w:rPr>
          <w:rFonts w:ascii="Arial" w:hAnsi="Arial" w:cs="Arial"/>
          <w:i/>
          <w:sz w:val="24"/>
          <w:szCs w:val="24"/>
        </w:rPr>
        <w:t>Freedom of Information Act 1992</w:t>
      </w:r>
      <w:r w:rsidRPr="007E78CA">
        <w:rPr>
          <w:rFonts w:ascii="Arial" w:hAnsi="Arial" w:cs="Arial"/>
          <w:sz w:val="24"/>
          <w:szCs w:val="24"/>
        </w:rPr>
        <w:t xml:space="preserve"> includes:</w:t>
      </w:r>
    </w:p>
    <w:p w14:paraId="0E8A2CAB" w14:textId="77777777" w:rsidR="00CF568A" w:rsidRPr="00900CF9" w:rsidRDefault="00CF568A" w:rsidP="00CF568A">
      <w:pPr>
        <w:pStyle w:val="ListParagraph"/>
        <w:numPr>
          <w:ilvl w:val="0"/>
          <w:numId w:val="4"/>
        </w:numPr>
        <w:rPr>
          <w:rFonts w:cs="Arial"/>
        </w:rPr>
      </w:pPr>
      <w:r w:rsidRPr="00900CF9">
        <w:rPr>
          <w:rFonts w:cs="Arial"/>
        </w:rPr>
        <w:t>board;</w:t>
      </w:r>
    </w:p>
    <w:p w14:paraId="65E064BA" w14:textId="77777777" w:rsidR="00CF568A" w:rsidRPr="00900CF9" w:rsidRDefault="00CF568A" w:rsidP="00CF568A">
      <w:pPr>
        <w:pStyle w:val="ListParagraph"/>
        <w:numPr>
          <w:ilvl w:val="0"/>
          <w:numId w:val="4"/>
        </w:numPr>
        <w:rPr>
          <w:rFonts w:cs="Arial"/>
        </w:rPr>
      </w:pPr>
      <w:r w:rsidRPr="00900CF9">
        <w:rPr>
          <w:rFonts w:cs="Arial"/>
        </w:rPr>
        <w:t>administration;</w:t>
      </w:r>
    </w:p>
    <w:p w14:paraId="6C850DC8" w14:textId="77777777" w:rsidR="00CF568A" w:rsidRPr="00900CF9" w:rsidRDefault="00CF568A" w:rsidP="00CF568A">
      <w:pPr>
        <w:pStyle w:val="ListParagraph"/>
        <w:numPr>
          <w:ilvl w:val="0"/>
          <w:numId w:val="4"/>
        </w:numPr>
        <w:rPr>
          <w:rFonts w:cs="Arial"/>
        </w:rPr>
      </w:pPr>
      <w:r w:rsidRPr="00900CF9">
        <w:rPr>
          <w:rFonts w:cs="Arial"/>
        </w:rPr>
        <w:t>technology and communication;</w:t>
      </w:r>
    </w:p>
    <w:p w14:paraId="476EA62B" w14:textId="77777777" w:rsidR="00CF568A" w:rsidRPr="00900CF9" w:rsidRDefault="00CF568A" w:rsidP="00CF568A">
      <w:pPr>
        <w:pStyle w:val="ListParagraph"/>
        <w:numPr>
          <w:ilvl w:val="0"/>
          <w:numId w:val="4"/>
        </w:numPr>
        <w:rPr>
          <w:rFonts w:cs="Arial"/>
        </w:rPr>
      </w:pPr>
      <w:r w:rsidRPr="00900CF9">
        <w:rPr>
          <w:rFonts w:cs="Arial"/>
        </w:rPr>
        <w:t>policy and procedure;</w:t>
      </w:r>
    </w:p>
    <w:p w14:paraId="7AE9AAD7" w14:textId="77777777" w:rsidR="00CF568A" w:rsidRPr="00900CF9" w:rsidRDefault="00CF568A" w:rsidP="00CF568A">
      <w:pPr>
        <w:pStyle w:val="ListParagraph"/>
        <w:numPr>
          <w:ilvl w:val="0"/>
          <w:numId w:val="4"/>
        </w:numPr>
        <w:rPr>
          <w:rFonts w:cs="Arial"/>
        </w:rPr>
      </w:pPr>
      <w:r w:rsidRPr="00900CF9">
        <w:rPr>
          <w:rFonts w:cs="Arial"/>
        </w:rPr>
        <w:t>advocacy;</w:t>
      </w:r>
    </w:p>
    <w:p w14:paraId="714BF788" w14:textId="77777777" w:rsidR="00CF568A" w:rsidRPr="00900CF9" w:rsidRDefault="00CF568A" w:rsidP="00CF568A">
      <w:pPr>
        <w:pStyle w:val="ListParagraph"/>
        <w:numPr>
          <w:ilvl w:val="0"/>
          <w:numId w:val="4"/>
        </w:numPr>
        <w:rPr>
          <w:rFonts w:cs="Arial"/>
        </w:rPr>
      </w:pPr>
      <w:r w:rsidRPr="00900CF9">
        <w:rPr>
          <w:rFonts w:cs="Arial"/>
        </w:rPr>
        <w:t>submissions;</w:t>
      </w:r>
    </w:p>
    <w:p w14:paraId="0A641F4F" w14:textId="77777777" w:rsidR="00CF568A" w:rsidRPr="00900CF9" w:rsidRDefault="00CF568A" w:rsidP="00CF568A">
      <w:pPr>
        <w:pStyle w:val="ListParagraph"/>
        <w:numPr>
          <w:ilvl w:val="0"/>
          <w:numId w:val="4"/>
        </w:numPr>
        <w:rPr>
          <w:rFonts w:cs="Arial"/>
        </w:rPr>
      </w:pPr>
      <w:r w:rsidRPr="00900CF9">
        <w:rPr>
          <w:rFonts w:cs="Arial"/>
        </w:rPr>
        <w:t>records management;</w:t>
      </w:r>
    </w:p>
    <w:p w14:paraId="3E11D9C3" w14:textId="77777777" w:rsidR="00CF568A" w:rsidRPr="00900CF9" w:rsidRDefault="00CF568A" w:rsidP="00CF568A">
      <w:pPr>
        <w:pStyle w:val="ListParagraph"/>
        <w:numPr>
          <w:ilvl w:val="0"/>
          <w:numId w:val="4"/>
        </w:numPr>
        <w:rPr>
          <w:rFonts w:cs="Arial"/>
        </w:rPr>
      </w:pPr>
      <w:r w:rsidRPr="00900CF9">
        <w:rPr>
          <w:rFonts w:cs="Arial"/>
        </w:rPr>
        <w:t>accounting;</w:t>
      </w:r>
    </w:p>
    <w:p w14:paraId="4DDBF34B" w14:textId="77777777" w:rsidR="00CF568A" w:rsidRPr="00900CF9" w:rsidRDefault="00CF568A" w:rsidP="00CF568A">
      <w:pPr>
        <w:pStyle w:val="ListParagraph"/>
        <w:numPr>
          <w:ilvl w:val="0"/>
          <w:numId w:val="4"/>
        </w:numPr>
        <w:rPr>
          <w:rFonts w:cs="Arial"/>
        </w:rPr>
      </w:pPr>
      <w:r w:rsidRPr="00900CF9">
        <w:rPr>
          <w:rFonts w:cs="Arial"/>
        </w:rPr>
        <w:t>people services;</w:t>
      </w:r>
    </w:p>
    <w:p w14:paraId="0A115BD7" w14:textId="77777777" w:rsidR="00CF568A" w:rsidRPr="00900CF9" w:rsidRDefault="00CF568A" w:rsidP="00CF568A">
      <w:pPr>
        <w:pStyle w:val="ListParagraph"/>
        <w:numPr>
          <w:ilvl w:val="0"/>
          <w:numId w:val="4"/>
        </w:numPr>
        <w:rPr>
          <w:rFonts w:cs="Arial"/>
        </w:rPr>
      </w:pPr>
      <w:r w:rsidRPr="00900CF9">
        <w:rPr>
          <w:rFonts w:cs="Arial"/>
        </w:rPr>
        <w:t xml:space="preserve">investigations; </w:t>
      </w:r>
    </w:p>
    <w:p w14:paraId="56FD078B" w14:textId="77777777" w:rsidR="00CF568A" w:rsidRPr="00900CF9" w:rsidRDefault="00CF568A" w:rsidP="00CF568A">
      <w:pPr>
        <w:pStyle w:val="ListParagraph"/>
        <w:numPr>
          <w:ilvl w:val="0"/>
          <w:numId w:val="4"/>
        </w:numPr>
        <w:rPr>
          <w:rFonts w:cs="Arial"/>
        </w:rPr>
      </w:pPr>
      <w:r w:rsidRPr="00900CF9">
        <w:rPr>
          <w:rFonts w:cs="Arial"/>
        </w:rPr>
        <w:t xml:space="preserve">grants; </w:t>
      </w:r>
    </w:p>
    <w:p w14:paraId="4417416D" w14:textId="77777777" w:rsidR="00CF568A" w:rsidRPr="00900CF9" w:rsidRDefault="00CF568A" w:rsidP="00CF568A">
      <w:pPr>
        <w:pStyle w:val="ListParagraph"/>
        <w:numPr>
          <w:ilvl w:val="0"/>
          <w:numId w:val="4"/>
        </w:numPr>
        <w:rPr>
          <w:rFonts w:cs="Arial"/>
        </w:rPr>
      </w:pPr>
      <w:r w:rsidRPr="00900CF9">
        <w:rPr>
          <w:rFonts w:cs="Arial"/>
        </w:rPr>
        <w:t xml:space="preserve">business migration; and </w:t>
      </w:r>
    </w:p>
    <w:p w14:paraId="4B35DBF2" w14:textId="77777777" w:rsidR="00CF568A" w:rsidRPr="00900CF9" w:rsidRDefault="00CF568A" w:rsidP="007E78CA">
      <w:pPr>
        <w:pStyle w:val="ListParagraph"/>
        <w:numPr>
          <w:ilvl w:val="0"/>
          <w:numId w:val="4"/>
        </w:numPr>
        <w:spacing w:after="240"/>
        <w:rPr>
          <w:rFonts w:cs="Arial"/>
        </w:rPr>
      </w:pPr>
      <w:r w:rsidRPr="00900CF9">
        <w:rPr>
          <w:rFonts w:cs="Arial"/>
        </w:rPr>
        <w:t>regional service provision.</w:t>
      </w:r>
    </w:p>
    <w:p w14:paraId="6C43BB96" w14:textId="77777777" w:rsidR="00CF568A" w:rsidRPr="007E78CA" w:rsidRDefault="00CF568A" w:rsidP="007E78CA">
      <w:pPr>
        <w:pStyle w:val="Heading3"/>
        <w:spacing w:after="120"/>
        <w:rPr>
          <w:rFonts w:ascii="Arial" w:hAnsi="Arial" w:cs="Arial"/>
          <w:b/>
          <w:color w:val="185A7D"/>
          <w:sz w:val="32"/>
          <w:szCs w:val="32"/>
        </w:rPr>
      </w:pPr>
      <w:bookmarkStart w:id="7" w:name="_Toc431456565"/>
      <w:bookmarkStart w:id="8" w:name="_Toc152919606"/>
      <w:r w:rsidRPr="007E78CA">
        <w:rPr>
          <w:rFonts w:ascii="Arial" w:hAnsi="Arial" w:cs="Arial"/>
          <w:b/>
          <w:color w:val="185A7D"/>
          <w:sz w:val="32"/>
          <w:szCs w:val="32"/>
        </w:rPr>
        <w:t>Access to information</w:t>
      </w:r>
      <w:bookmarkEnd w:id="7"/>
      <w:bookmarkEnd w:id="8"/>
    </w:p>
    <w:p w14:paraId="7D80602D" w14:textId="77777777" w:rsidR="00CF568A" w:rsidRPr="007E78CA" w:rsidRDefault="00CF568A" w:rsidP="007E78CA">
      <w:pPr>
        <w:spacing w:after="120"/>
        <w:rPr>
          <w:rFonts w:ascii="Arial" w:hAnsi="Arial" w:cs="Arial"/>
          <w:sz w:val="24"/>
          <w:szCs w:val="24"/>
        </w:rPr>
      </w:pPr>
      <w:r w:rsidRPr="007E78CA">
        <w:rPr>
          <w:rFonts w:ascii="Arial" w:hAnsi="Arial" w:cs="Arial"/>
          <w:sz w:val="24"/>
          <w:szCs w:val="24"/>
        </w:rPr>
        <w:t xml:space="preserve">It is the aim of the SBDC to make information available promptly and with minimal costs, if any. </w:t>
      </w:r>
    </w:p>
    <w:p w14:paraId="40F693C3" w14:textId="77777777" w:rsidR="00CF568A" w:rsidRPr="007E78CA" w:rsidRDefault="00CF568A" w:rsidP="007E78CA">
      <w:pPr>
        <w:spacing w:after="120"/>
        <w:rPr>
          <w:rFonts w:ascii="Arial" w:hAnsi="Arial" w:cs="Arial"/>
          <w:sz w:val="24"/>
          <w:szCs w:val="24"/>
        </w:rPr>
      </w:pPr>
      <w:r w:rsidRPr="007E78CA">
        <w:rPr>
          <w:rFonts w:ascii="Arial" w:hAnsi="Arial" w:cs="Arial"/>
          <w:sz w:val="24"/>
          <w:szCs w:val="24"/>
        </w:rPr>
        <w:t xml:space="preserve">The </w:t>
      </w:r>
      <w:r w:rsidRPr="007E78CA">
        <w:rPr>
          <w:rFonts w:ascii="Arial" w:hAnsi="Arial" w:cs="Arial"/>
          <w:i/>
          <w:sz w:val="24"/>
          <w:szCs w:val="24"/>
        </w:rPr>
        <w:t>Freedom of Information Act 1992</w:t>
      </w:r>
      <w:r w:rsidRPr="007E78CA">
        <w:rPr>
          <w:rFonts w:ascii="Arial" w:hAnsi="Arial" w:cs="Arial"/>
          <w:sz w:val="24"/>
          <w:szCs w:val="24"/>
        </w:rPr>
        <w:t xml:space="preserve"> (the Act) gives members of the public the right to access documents held by the SBDC. It offers a means to request amendments of personal information which is inaccurate, incomplete, out-of-date or misleading.</w:t>
      </w:r>
    </w:p>
    <w:p w14:paraId="4E8F6B97" w14:textId="77777777" w:rsidR="00CF568A" w:rsidRPr="007E78CA" w:rsidRDefault="00CF568A" w:rsidP="00CF568A">
      <w:pPr>
        <w:rPr>
          <w:rFonts w:ascii="Arial" w:hAnsi="Arial" w:cs="Arial"/>
          <w:sz w:val="24"/>
          <w:szCs w:val="24"/>
        </w:rPr>
      </w:pPr>
      <w:r w:rsidRPr="007E78CA">
        <w:rPr>
          <w:rFonts w:ascii="Arial" w:hAnsi="Arial" w:cs="Arial"/>
          <w:sz w:val="24"/>
          <w:szCs w:val="24"/>
        </w:rPr>
        <w:t>To safeguard personal information, applicants applying for their own personal information are required to provide a copy of photographic identification such as a driver’s licence or passport.</w:t>
      </w:r>
    </w:p>
    <w:p w14:paraId="6F1F7232" w14:textId="77777777" w:rsidR="00CF568A" w:rsidRPr="007E78CA" w:rsidRDefault="00CF568A" w:rsidP="007E78CA">
      <w:pPr>
        <w:pStyle w:val="Heading3"/>
        <w:spacing w:after="120"/>
        <w:rPr>
          <w:rFonts w:ascii="Arial" w:hAnsi="Arial" w:cs="Arial"/>
          <w:b/>
          <w:color w:val="185A7D"/>
        </w:rPr>
      </w:pPr>
      <w:bookmarkStart w:id="9" w:name="_Toc431456566"/>
      <w:bookmarkStart w:id="10" w:name="_Toc152919607"/>
      <w:r w:rsidRPr="007E78CA">
        <w:rPr>
          <w:rFonts w:ascii="Arial" w:hAnsi="Arial" w:cs="Arial"/>
          <w:b/>
          <w:color w:val="185A7D"/>
        </w:rPr>
        <w:t>FOI applications</w:t>
      </w:r>
      <w:bookmarkEnd w:id="9"/>
      <w:bookmarkEnd w:id="10"/>
    </w:p>
    <w:p w14:paraId="246CC90C"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Section 12(1) of the Act sets out the criteria required for applications to access information.</w:t>
      </w:r>
    </w:p>
    <w:p w14:paraId="7C69A5F3" w14:textId="77777777" w:rsidR="00CF568A" w:rsidRPr="007E78CA" w:rsidRDefault="00CF568A" w:rsidP="007E78CA">
      <w:pPr>
        <w:spacing w:after="0"/>
        <w:rPr>
          <w:rFonts w:ascii="Arial" w:hAnsi="Arial" w:cs="Arial"/>
          <w:sz w:val="24"/>
          <w:szCs w:val="24"/>
        </w:rPr>
      </w:pPr>
      <w:r w:rsidRPr="007E78CA">
        <w:rPr>
          <w:rFonts w:ascii="Arial" w:hAnsi="Arial" w:cs="Arial"/>
          <w:sz w:val="24"/>
          <w:szCs w:val="24"/>
        </w:rPr>
        <w:t>Access applications must:</w:t>
      </w:r>
    </w:p>
    <w:p w14:paraId="7C105E40" w14:textId="77777777" w:rsidR="00CF568A" w:rsidRPr="00900CF9" w:rsidRDefault="00CF568A" w:rsidP="00CF568A">
      <w:pPr>
        <w:pStyle w:val="ListParagraph"/>
        <w:numPr>
          <w:ilvl w:val="0"/>
          <w:numId w:val="3"/>
        </w:numPr>
        <w:rPr>
          <w:rFonts w:cs="Arial"/>
        </w:rPr>
      </w:pPr>
      <w:r w:rsidRPr="00900CF9">
        <w:rPr>
          <w:rFonts w:cs="Arial"/>
        </w:rPr>
        <w:t>be in writing;</w:t>
      </w:r>
    </w:p>
    <w:p w14:paraId="1AFCAA93" w14:textId="77777777" w:rsidR="00CF568A" w:rsidRPr="00900CF9" w:rsidRDefault="00CF568A" w:rsidP="00CF568A">
      <w:pPr>
        <w:pStyle w:val="ListParagraph"/>
        <w:numPr>
          <w:ilvl w:val="0"/>
          <w:numId w:val="3"/>
        </w:numPr>
        <w:rPr>
          <w:rFonts w:cs="Arial"/>
        </w:rPr>
      </w:pPr>
      <w:r w:rsidRPr="00900CF9">
        <w:rPr>
          <w:rFonts w:cs="Arial"/>
        </w:rPr>
        <w:t>include enough information so that the documents requested can be identified;</w:t>
      </w:r>
    </w:p>
    <w:p w14:paraId="6A287D7A" w14:textId="77777777" w:rsidR="00CF568A" w:rsidRPr="00900CF9" w:rsidRDefault="00CF568A" w:rsidP="00CF568A">
      <w:pPr>
        <w:pStyle w:val="ListParagraph"/>
        <w:numPr>
          <w:ilvl w:val="0"/>
          <w:numId w:val="3"/>
        </w:numPr>
        <w:rPr>
          <w:rFonts w:cs="Arial"/>
        </w:rPr>
      </w:pPr>
      <w:r w:rsidRPr="00900CF9">
        <w:rPr>
          <w:rFonts w:cs="Arial"/>
        </w:rPr>
        <w:t xml:space="preserve">list an Australian address to which notices can be sent; and </w:t>
      </w:r>
    </w:p>
    <w:p w14:paraId="2E629460" w14:textId="77777777" w:rsidR="00CF568A" w:rsidRPr="00900CF9" w:rsidRDefault="00CF568A" w:rsidP="007E78CA">
      <w:pPr>
        <w:pStyle w:val="ListParagraph"/>
        <w:numPr>
          <w:ilvl w:val="0"/>
          <w:numId w:val="3"/>
        </w:numPr>
        <w:spacing w:after="120"/>
        <w:ind w:left="714" w:hanging="357"/>
        <w:rPr>
          <w:rFonts w:cs="Arial"/>
        </w:rPr>
      </w:pPr>
      <w:r w:rsidRPr="00900CF9">
        <w:rPr>
          <w:rFonts w:cs="Arial"/>
        </w:rPr>
        <w:lastRenderedPageBreak/>
        <w:t>be lodged at the agency with any application fee payable.</w:t>
      </w:r>
    </w:p>
    <w:p w14:paraId="16E305AA" w14:textId="2223CEBB" w:rsidR="00CF568A" w:rsidRPr="007E78CA" w:rsidRDefault="00CF568A" w:rsidP="00CF568A">
      <w:pPr>
        <w:rPr>
          <w:rFonts w:ascii="Arial" w:hAnsi="Arial" w:cs="Arial"/>
          <w:sz w:val="24"/>
          <w:szCs w:val="24"/>
        </w:rPr>
      </w:pPr>
      <w:r w:rsidRPr="007E78CA">
        <w:rPr>
          <w:rFonts w:ascii="Arial" w:hAnsi="Arial" w:cs="Arial"/>
          <w:sz w:val="24"/>
          <w:szCs w:val="24"/>
        </w:rPr>
        <w:t xml:space="preserve">Applications can be submitted online, including any relevant payment, through the SBDC website by following this </w:t>
      </w:r>
      <w:hyperlink r:id="rId12" w:history="1">
        <w:r w:rsidRPr="00C15C70">
          <w:rPr>
            <w:rStyle w:val="Hyperlink"/>
            <w:rFonts w:ascii="Arial" w:hAnsi="Arial" w:cs="Arial"/>
            <w:sz w:val="24"/>
            <w:szCs w:val="24"/>
          </w:rPr>
          <w:t>link</w:t>
        </w:r>
      </w:hyperlink>
      <w:r w:rsidRPr="007E78CA">
        <w:rPr>
          <w:rFonts w:ascii="Arial" w:hAnsi="Arial" w:cs="Arial"/>
          <w:sz w:val="24"/>
          <w:szCs w:val="24"/>
        </w:rPr>
        <w:t>. If the application is in regards to personal information, payment is not required.</w:t>
      </w:r>
    </w:p>
    <w:p w14:paraId="1E5CF59F"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 xml:space="preserve">Alternatively, any applications should be addressed to the Information Coordinator in writing. After an application is received, the applicant will be forwarded information regarding relevant payment, to be made before the request is processed.  </w:t>
      </w:r>
    </w:p>
    <w:p w14:paraId="6F478457" w14:textId="77777777" w:rsidR="00CF568A" w:rsidRPr="007E78CA" w:rsidRDefault="00CF568A" w:rsidP="00CF568A">
      <w:pPr>
        <w:rPr>
          <w:rFonts w:ascii="Arial" w:hAnsi="Arial" w:cs="Arial"/>
          <w:color w:val="000000" w:themeColor="text1"/>
          <w:sz w:val="24"/>
          <w:szCs w:val="24"/>
        </w:rPr>
      </w:pPr>
      <w:r w:rsidRPr="007E78CA">
        <w:rPr>
          <w:rFonts w:ascii="Arial" w:hAnsi="Arial" w:cs="Arial"/>
          <w:color w:val="000000" w:themeColor="text1"/>
          <w:sz w:val="24"/>
          <w:szCs w:val="24"/>
        </w:rPr>
        <w:t>Applications will be acknowledged in writing and the applicant will be notified of the decision within 45 calendar days, or sooner where practicable.</w:t>
      </w:r>
    </w:p>
    <w:p w14:paraId="25ACE48F" w14:textId="77777777" w:rsidR="00CF568A" w:rsidRPr="007E78CA" w:rsidRDefault="00CF568A" w:rsidP="007E78CA">
      <w:pPr>
        <w:spacing w:after="120"/>
        <w:rPr>
          <w:rFonts w:ascii="Arial" w:hAnsi="Arial" w:cs="Arial"/>
          <w:sz w:val="24"/>
          <w:szCs w:val="24"/>
        </w:rPr>
      </w:pPr>
      <w:r w:rsidRPr="007E78CA">
        <w:rPr>
          <w:rFonts w:ascii="Arial" w:hAnsi="Arial" w:cs="Arial"/>
          <w:b/>
          <w:sz w:val="24"/>
          <w:szCs w:val="24"/>
        </w:rPr>
        <w:t>Office location</w:t>
      </w:r>
      <w:r w:rsidRPr="007E78CA">
        <w:rPr>
          <w:rFonts w:ascii="Arial" w:hAnsi="Arial" w:cs="Arial"/>
          <w:sz w:val="24"/>
          <w:szCs w:val="24"/>
        </w:rPr>
        <w:tab/>
      </w:r>
      <w:r w:rsidRPr="007E78CA">
        <w:rPr>
          <w:rFonts w:ascii="Arial" w:hAnsi="Arial" w:cs="Arial"/>
          <w:sz w:val="24"/>
          <w:szCs w:val="24"/>
        </w:rPr>
        <w:tab/>
      </w:r>
      <w:r w:rsidRPr="007E78CA">
        <w:rPr>
          <w:rFonts w:ascii="Arial" w:hAnsi="Arial" w:cs="Arial"/>
          <w:sz w:val="24"/>
          <w:szCs w:val="24"/>
        </w:rPr>
        <w:tab/>
      </w:r>
      <w:r w:rsidRPr="007E78CA">
        <w:rPr>
          <w:rFonts w:ascii="Arial" w:hAnsi="Arial" w:cs="Arial"/>
          <w:sz w:val="24"/>
          <w:szCs w:val="24"/>
        </w:rPr>
        <w:tab/>
      </w:r>
      <w:r w:rsidRPr="007E78CA">
        <w:rPr>
          <w:rFonts w:ascii="Arial" w:hAnsi="Arial" w:cs="Arial"/>
          <w:sz w:val="24"/>
          <w:szCs w:val="24"/>
        </w:rPr>
        <w:tab/>
      </w:r>
      <w:r w:rsidRPr="007E78CA">
        <w:rPr>
          <w:rFonts w:ascii="Arial" w:hAnsi="Arial" w:cs="Arial"/>
          <w:sz w:val="24"/>
          <w:szCs w:val="24"/>
        </w:rPr>
        <w:tab/>
      </w:r>
    </w:p>
    <w:p w14:paraId="74C90B9A"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SBDC Reception</w:t>
      </w:r>
      <w:r w:rsidRPr="007E78CA">
        <w:rPr>
          <w:rFonts w:ascii="Arial" w:hAnsi="Arial" w:cs="Arial"/>
          <w:sz w:val="24"/>
          <w:szCs w:val="24"/>
        </w:rPr>
        <w:tab/>
      </w:r>
      <w:r w:rsidRPr="007E78CA">
        <w:rPr>
          <w:rFonts w:ascii="Arial" w:hAnsi="Arial" w:cs="Arial"/>
          <w:sz w:val="24"/>
          <w:szCs w:val="24"/>
        </w:rPr>
        <w:tab/>
      </w:r>
      <w:r w:rsidRPr="007E78CA">
        <w:rPr>
          <w:rFonts w:ascii="Arial" w:hAnsi="Arial" w:cs="Arial"/>
          <w:sz w:val="24"/>
          <w:szCs w:val="24"/>
        </w:rPr>
        <w:tab/>
      </w:r>
      <w:r w:rsidRPr="007E78CA">
        <w:rPr>
          <w:rFonts w:ascii="Arial" w:hAnsi="Arial" w:cs="Arial"/>
          <w:sz w:val="24"/>
          <w:szCs w:val="24"/>
        </w:rPr>
        <w:tab/>
      </w:r>
      <w:r w:rsidRPr="007E78CA">
        <w:rPr>
          <w:rFonts w:ascii="Arial" w:hAnsi="Arial" w:cs="Arial"/>
          <w:sz w:val="24"/>
          <w:szCs w:val="24"/>
        </w:rPr>
        <w:tab/>
      </w:r>
      <w:r w:rsidRPr="007E78CA">
        <w:rPr>
          <w:rFonts w:ascii="Arial" w:hAnsi="Arial" w:cs="Arial"/>
          <w:sz w:val="24"/>
          <w:szCs w:val="24"/>
        </w:rPr>
        <w:tab/>
      </w:r>
    </w:p>
    <w:p w14:paraId="5FCF01FD"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Level 2</w:t>
      </w:r>
    </w:p>
    <w:p w14:paraId="238C283E"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140 William Street</w:t>
      </w:r>
    </w:p>
    <w:p w14:paraId="52F0AA7D"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Perth WA 6000</w:t>
      </w:r>
    </w:p>
    <w:p w14:paraId="75C960B0" w14:textId="77777777" w:rsidR="00CF568A" w:rsidRPr="007E78CA" w:rsidRDefault="00CF568A" w:rsidP="007E78CA">
      <w:pPr>
        <w:spacing w:before="240" w:after="120"/>
        <w:rPr>
          <w:rFonts w:ascii="Arial" w:hAnsi="Arial" w:cs="Arial"/>
          <w:b/>
          <w:color w:val="000000" w:themeColor="text1"/>
          <w:sz w:val="24"/>
          <w:szCs w:val="24"/>
        </w:rPr>
      </w:pPr>
      <w:r w:rsidRPr="007E78CA">
        <w:rPr>
          <w:rFonts w:ascii="Arial" w:hAnsi="Arial" w:cs="Arial"/>
          <w:b/>
          <w:color w:val="000000" w:themeColor="text1"/>
          <w:sz w:val="24"/>
          <w:szCs w:val="24"/>
        </w:rPr>
        <w:t>Office hours</w:t>
      </w:r>
    </w:p>
    <w:p w14:paraId="498F33A0" w14:textId="77777777" w:rsidR="00CF568A" w:rsidRPr="007E78CA" w:rsidRDefault="00CF568A" w:rsidP="007E78CA">
      <w:pPr>
        <w:spacing w:after="60"/>
        <w:rPr>
          <w:rFonts w:ascii="Arial" w:hAnsi="Arial" w:cs="Arial"/>
          <w:color w:val="000000" w:themeColor="text1"/>
          <w:sz w:val="24"/>
          <w:szCs w:val="24"/>
        </w:rPr>
      </w:pPr>
      <w:r w:rsidRPr="007E78CA">
        <w:rPr>
          <w:rFonts w:ascii="Arial" w:hAnsi="Arial" w:cs="Arial"/>
          <w:color w:val="000000" w:themeColor="text1"/>
          <w:sz w:val="24"/>
          <w:szCs w:val="24"/>
        </w:rPr>
        <w:t>Monday – Friday</w:t>
      </w:r>
    </w:p>
    <w:p w14:paraId="15BC6C5A" w14:textId="77777777" w:rsidR="00CF568A" w:rsidRPr="007E78CA" w:rsidRDefault="00CF568A" w:rsidP="007E78CA">
      <w:pPr>
        <w:spacing w:after="60"/>
        <w:rPr>
          <w:rFonts w:ascii="Arial" w:hAnsi="Arial" w:cs="Arial"/>
          <w:color w:val="000000" w:themeColor="text1"/>
          <w:sz w:val="24"/>
          <w:szCs w:val="24"/>
        </w:rPr>
      </w:pPr>
      <w:r w:rsidRPr="007E78CA">
        <w:rPr>
          <w:rFonts w:ascii="Arial" w:hAnsi="Arial" w:cs="Arial"/>
          <w:color w:val="000000" w:themeColor="text1"/>
          <w:sz w:val="24"/>
          <w:szCs w:val="24"/>
        </w:rPr>
        <w:t>8.30am to 4.30pm</w:t>
      </w:r>
    </w:p>
    <w:p w14:paraId="78956965" w14:textId="77777777" w:rsidR="00CF568A" w:rsidRPr="007E78CA" w:rsidRDefault="00CF568A" w:rsidP="007E78CA">
      <w:pPr>
        <w:spacing w:before="240" w:after="120"/>
        <w:rPr>
          <w:rFonts w:ascii="Arial" w:hAnsi="Arial" w:cs="Arial"/>
          <w:sz w:val="24"/>
          <w:szCs w:val="24"/>
        </w:rPr>
      </w:pPr>
      <w:r w:rsidRPr="007E78CA">
        <w:rPr>
          <w:rFonts w:ascii="Arial" w:hAnsi="Arial" w:cs="Arial"/>
          <w:b/>
          <w:sz w:val="24"/>
          <w:szCs w:val="24"/>
        </w:rPr>
        <w:t>Postal address</w:t>
      </w:r>
    </w:p>
    <w:p w14:paraId="16F94A72"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GPO BOX C111</w:t>
      </w:r>
    </w:p>
    <w:p w14:paraId="74A9A98A" w14:textId="77777777" w:rsidR="00CF568A" w:rsidRPr="007E78CA" w:rsidRDefault="00CF568A" w:rsidP="007E78CA">
      <w:pPr>
        <w:spacing w:after="60"/>
        <w:rPr>
          <w:rFonts w:ascii="Arial" w:hAnsi="Arial" w:cs="Arial"/>
          <w:sz w:val="24"/>
          <w:szCs w:val="24"/>
        </w:rPr>
      </w:pPr>
      <w:r w:rsidRPr="007E78CA">
        <w:rPr>
          <w:rFonts w:ascii="Arial" w:hAnsi="Arial" w:cs="Arial"/>
          <w:sz w:val="24"/>
          <w:szCs w:val="24"/>
        </w:rPr>
        <w:t>Perth WA 6001</w:t>
      </w:r>
    </w:p>
    <w:p w14:paraId="2BDA00D4" w14:textId="77777777" w:rsidR="00CF568A" w:rsidRPr="007E78CA" w:rsidRDefault="00CF568A" w:rsidP="007E78CA">
      <w:pPr>
        <w:spacing w:before="240" w:after="120"/>
        <w:rPr>
          <w:rFonts w:ascii="Arial" w:hAnsi="Arial" w:cs="Arial"/>
          <w:b/>
          <w:sz w:val="24"/>
          <w:szCs w:val="24"/>
        </w:rPr>
      </w:pPr>
      <w:r w:rsidRPr="007E78CA">
        <w:rPr>
          <w:rFonts w:ascii="Arial" w:hAnsi="Arial" w:cs="Arial"/>
          <w:b/>
          <w:sz w:val="24"/>
          <w:szCs w:val="24"/>
        </w:rPr>
        <w:t>Email</w:t>
      </w:r>
      <w:r w:rsidRPr="007E78CA">
        <w:rPr>
          <w:rFonts w:ascii="Arial" w:hAnsi="Arial" w:cs="Arial"/>
          <w:b/>
          <w:sz w:val="24"/>
          <w:szCs w:val="24"/>
        </w:rPr>
        <w:tab/>
      </w:r>
      <w:r w:rsidRPr="007E78CA">
        <w:rPr>
          <w:rFonts w:ascii="Arial" w:hAnsi="Arial" w:cs="Arial"/>
          <w:b/>
          <w:sz w:val="24"/>
          <w:szCs w:val="24"/>
        </w:rPr>
        <w:tab/>
      </w:r>
      <w:r w:rsidRPr="007E78CA">
        <w:rPr>
          <w:rFonts w:ascii="Arial" w:hAnsi="Arial" w:cs="Arial"/>
          <w:b/>
          <w:sz w:val="24"/>
          <w:szCs w:val="24"/>
        </w:rPr>
        <w:tab/>
      </w:r>
      <w:r w:rsidRPr="007E78CA">
        <w:rPr>
          <w:rFonts w:ascii="Arial" w:hAnsi="Arial" w:cs="Arial"/>
          <w:b/>
          <w:sz w:val="24"/>
          <w:szCs w:val="24"/>
        </w:rPr>
        <w:tab/>
      </w:r>
      <w:r w:rsidRPr="007E78CA">
        <w:rPr>
          <w:rFonts w:ascii="Arial" w:hAnsi="Arial" w:cs="Arial"/>
          <w:b/>
          <w:sz w:val="24"/>
          <w:szCs w:val="24"/>
        </w:rPr>
        <w:tab/>
      </w:r>
      <w:r w:rsidRPr="007E78CA">
        <w:rPr>
          <w:rFonts w:ascii="Arial" w:hAnsi="Arial" w:cs="Arial"/>
          <w:b/>
          <w:sz w:val="24"/>
          <w:szCs w:val="24"/>
        </w:rPr>
        <w:tab/>
      </w:r>
      <w:r w:rsidRPr="007E78CA">
        <w:rPr>
          <w:rFonts w:ascii="Arial" w:hAnsi="Arial" w:cs="Arial"/>
          <w:b/>
          <w:sz w:val="24"/>
          <w:szCs w:val="24"/>
        </w:rPr>
        <w:tab/>
      </w:r>
      <w:r w:rsidRPr="007E78CA">
        <w:rPr>
          <w:rFonts w:ascii="Arial" w:hAnsi="Arial" w:cs="Arial"/>
          <w:b/>
          <w:sz w:val="24"/>
          <w:szCs w:val="24"/>
        </w:rPr>
        <w:tab/>
      </w:r>
    </w:p>
    <w:p w14:paraId="655E9BDB" w14:textId="77777777" w:rsidR="00CF568A" w:rsidRPr="007E78CA" w:rsidRDefault="00000000" w:rsidP="00CF568A">
      <w:pPr>
        <w:rPr>
          <w:rFonts w:ascii="Arial" w:hAnsi="Arial" w:cs="Arial"/>
          <w:color w:val="AEAAAA" w:themeColor="background2" w:themeShade="BF"/>
          <w:sz w:val="24"/>
          <w:szCs w:val="24"/>
        </w:rPr>
      </w:pPr>
      <w:hyperlink r:id="rId13" w:history="1">
        <w:r w:rsidR="00CF568A" w:rsidRPr="007E78CA">
          <w:rPr>
            <w:rStyle w:val="Hyperlink"/>
            <w:rFonts w:ascii="Arial" w:hAnsi="Arial" w:cs="Arial"/>
            <w:sz w:val="24"/>
            <w:szCs w:val="24"/>
          </w:rPr>
          <w:t>infocentre@smallbusiness.wa.gov.au</w:t>
        </w:r>
      </w:hyperlink>
      <w:r w:rsidR="00CF568A" w:rsidRPr="007E78CA">
        <w:rPr>
          <w:rFonts w:ascii="Arial" w:hAnsi="Arial" w:cs="Arial"/>
          <w:color w:val="AEAAAA" w:themeColor="background2" w:themeShade="BF"/>
          <w:sz w:val="24"/>
          <w:szCs w:val="24"/>
        </w:rPr>
        <w:tab/>
      </w:r>
      <w:r w:rsidR="00CF568A" w:rsidRPr="007E78CA">
        <w:rPr>
          <w:rFonts w:ascii="Arial" w:hAnsi="Arial" w:cs="Arial"/>
          <w:color w:val="AEAAAA" w:themeColor="background2" w:themeShade="BF"/>
          <w:sz w:val="24"/>
          <w:szCs w:val="24"/>
        </w:rPr>
        <w:tab/>
      </w:r>
      <w:r w:rsidR="00CF568A" w:rsidRPr="007E78CA">
        <w:rPr>
          <w:rFonts w:ascii="Arial" w:hAnsi="Arial" w:cs="Arial"/>
          <w:color w:val="AEAAAA" w:themeColor="background2" w:themeShade="BF"/>
          <w:sz w:val="24"/>
          <w:szCs w:val="24"/>
        </w:rPr>
        <w:tab/>
      </w:r>
      <w:r w:rsidR="00CF568A" w:rsidRPr="007E78CA">
        <w:rPr>
          <w:rFonts w:ascii="Arial" w:hAnsi="Arial" w:cs="Arial"/>
          <w:color w:val="AEAAAA" w:themeColor="background2" w:themeShade="BF"/>
          <w:sz w:val="24"/>
          <w:szCs w:val="24"/>
        </w:rPr>
        <w:tab/>
      </w:r>
    </w:p>
    <w:p w14:paraId="798E0E66" w14:textId="77777777" w:rsidR="00CF568A" w:rsidRPr="007E78CA" w:rsidRDefault="00CF568A" w:rsidP="007E78CA">
      <w:pPr>
        <w:spacing w:before="240" w:after="120"/>
        <w:rPr>
          <w:rFonts w:ascii="Arial" w:hAnsi="Arial" w:cs="Arial"/>
          <w:b/>
          <w:sz w:val="24"/>
          <w:szCs w:val="24"/>
        </w:rPr>
      </w:pPr>
      <w:r w:rsidRPr="007E78CA">
        <w:rPr>
          <w:rFonts w:ascii="Arial" w:hAnsi="Arial" w:cs="Arial"/>
          <w:b/>
          <w:sz w:val="24"/>
          <w:szCs w:val="24"/>
        </w:rPr>
        <w:t>Website</w:t>
      </w:r>
    </w:p>
    <w:p w14:paraId="59CB6A32" w14:textId="77777777" w:rsidR="00CF568A" w:rsidRPr="007E78CA" w:rsidRDefault="00000000" w:rsidP="00CF568A">
      <w:pPr>
        <w:rPr>
          <w:rFonts w:ascii="Arial" w:hAnsi="Arial" w:cs="Arial"/>
          <w:color w:val="AEAAAA" w:themeColor="background2" w:themeShade="BF"/>
          <w:sz w:val="24"/>
          <w:szCs w:val="24"/>
        </w:rPr>
      </w:pPr>
      <w:hyperlink r:id="rId14" w:history="1">
        <w:r w:rsidR="00CF568A" w:rsidRPr="007E78CA">
          <w:rPr>
            <w:rStyle w:val="Hyperlink"/>
            <w:rFonts w:ascii="Arial" w:hAnsi="Arial" w:cs="Arial"/>
            <w:sz w:val="24"/>
            <w:szCs w:val="24"/>
          </w:rPr>
          <w:t>www.smallbusiness.wa.gov.au</w:t>
        </w:r>
      </w:hyperlink>
      <w:r w:rsidR="00CF568A" w:rsidRPr="007E78CA">
        <w:rPr>
          <w:rFonts w:ascii="Arial" w:hAnsi="Arial" w:cs="Arial"/>
          <w:color w:val="AEAAAA" w:themeColor="background2" w:themeShade="BF"/>
          <w:sz w:val="24"/>
          <w:szCs w:val="24"/>
        </w:rPr>
        <w:t xml:space="preserve"> </w:t>
      </w:r>
    </w:p>
    <w:p w14:paraId="6BB5E5D7" w14:textId="77777777" w:rsidR="00CF568A" w:rsidRPr="007E78CA" w:rsidRDefault="00CF568A" w:rsidP="007E78CA">
      <w:pPr>
        <w:spacing w:before="240" w:after="120"/>
        <w:rPr>
          <w:rFonts w:ascii="Arial" w:hAnsi="Arial" w:cs="Arial"/>
          <w:b/>
          <w:color w:val="000000" w:themeColor="text1"/>
          <w:sz w:val="24"/>
          <w:szCs w:val="24"/>
        </w:rPr>
      </w:pPr>
      <w:r w:rsidRPr="007E78CA">
        <w:rPr>
          <w:rFonts w:ascii="Arial" w:hAnsi="Arial" w:cs="Arial"/>
          <w:b/>
          <w:color w:val="000000" w:themeColor="text1"/>
          <w:sz w:val="24"/>
          <w:szCs w:val="24"/>
        </w:rPr>
        <w:t>Phone</w:t>
      </w:r>
    </w:p>
    <w:p w14:paraId="3C3F559A" w14:textId="77777777" w:rsidR="00CF568A" w:rsidRPr="007E78CA" w:rsidRDefault="00CF568A" w:rsidP="00CF568A">
      <w:pPr>
        <w:rPr>
          <w:rFonts w:ascii="Arial" w:hAnsi="Arial" w:cs="Arial"/>
          <w:color w:val="000000" w:themeColor="text1"/>
          <w:sz w:val="24"/>
          <w:szCs w:val="24"/>
        </w:rPr>
      </w:pPr>
      <w:r w:rsidRPr="007E78CA">
        <w:rPr>
          <w:rFonts w:ascii="Arial" w:hAnsi="Arial" w:cs="Arial"/>
          <w:color w:val="000000" w:themeColor="text1"/>
          <w:sz w:val="24"/>
          <w:szCs w:val="24"/>
        </w:rPr>
        <w:t>(08) 6552 3300</w:t>
      </w:r>
    </w:p>
    <w:p w14:paraId="64C3CF62" w14:textId="77777777" w:rsidR="00CF568A" w:rsidRPr="007E78CA" w:rsidRDefault="00CF568A" w:rsidP="007E78CA">
      <w:pPr>
        <w:pStyle w:val="Heading3"/>
        <w:spacing w:before="120" w:after="40"/>
        <w:rPr>
          <w:rFonts w:ascii="Arial" w:hAnsi="Arial" w:cs="Arial"/>
          <w:b/>
          <w:color w:val="185A7D"/>
          <w:sz w:val="32"/>
          <w:szCs w:val="32"/>
        </w:rPr>
      </w:pPr>
      <w:bookmarkStart w:id="11" w:name="_Toc431456567"/>
      <w:bookmarkStart w:id="12" w:name="_Toc152919608"/>
      <w:r w:rsidRPr="007E78CA">
        <w:rPr>
          <w:rFonts w:ascii="Arial" w:hAnsi="Arial" w:cs="Arial"/>
          <w:b/>
          <w:color w:val="185A7D"/>
          <w:sz w:val="32"/>
          <w:szCs w:val="32"/>
        </w:rPr>
        <w:t>Amendment of personal information</w:t>
      </w:r>
      <w:bookmarkEnd w:id="11"/>
      <w:bookmarkEnd w:id="12"/>
    </w:p>
    <w:p w14:paraId="46F7C5A8" w14:textId="77777777" w:rsidR="00CF568A" w:rsidRPr="007E78CA" w:rsidRDefault="00CF568A" w:rsidP="00CF568A">
      <w:pPr>
        <w:rPr>
          <w:rFonts w:ascii="Arial" w:hAnsi="Arial" w:cs="Arial"/>
          <w:color w:val="000000" w:themeColor="text1"/>
          <w:sz w:val="24"/>
          <w:szCs w:val="24"/>
        </w:rPr>
      </w:pPr>
      <w:r w:rsidRPr="007E78CA">
        <w:rPr>
          <w:rFonts w:ascii="Arial" w:hAnsi="Arial" w:cs="Arial"/>
          <w:color w:val="000000" w:themeColor="text1"/>
          <w:sz w:val="24"/>
          <w:szCs w:val="24"/>
        </w:rPr>
        <w:t>Members of the public who believe personal information held by the SBDC is inaccurate may request access to personal records in writing. They may then request that information about them that is inaccurate, incomplete, out of date or misleading, be corrected. The request must articulate the details that require updating and the reason why.</w:t>
      </w:r>
    </w:p>
    <w:p w14:paraId="74B4DB8F" w14:textId="77777777" w:rsidR="00774F00" w:rsidRDefault="00774F00" w:rsidP="007E78CA">
      <w:pPr>
        <w:pStyle w:val="Heading3"/>
        <w:spacing w:before="120" w:after="40"/>
        <w:rPr>
          <w:rFonts w:ascii="Arial" w:hAnsi="Arial" w:cs="Arial"/>
          <w:b/>
          <w:color w:val="185A7D"/>
          <w:sz w:val="32"/>
          <w:szCs w:val="32"/>
        </w:rPr>
        <w:sectPr w:rsidR="00774F00" w:rsidSect="00774F00">
          <w:pgSz w:w="11906" w:h="16838"/>
          <w:pgMar w:top="720" w:right="720" w:bottom="720" w:left="720" w:header="708" w:footer="708" w:gutter="0"/>
          <w:cols w:space="708"/>
          <w:docGrid w:linePitch="360"/>
        </w:sectPr>
      </w:pPr>
      <w:bookmarkStart w:id="13" w:name="_Toc431456568"/>
    </w:p>
    <w:p w14:paraId="2A669CD1" w14:textId="52BE9FBE" w:rsidR="00CF568A" w:rsidRPr="007E78CA" w:rsidRDefault="00CF568A" w:rsidP="007E78CA">
      <w:pPr>
        <w:pStyle w:val="Heading3"/>
        <w:spacing w:before="120" w:after="40"/>
        <w:rPr>
          <w:rFonts w:ascii="Arial" w:hAnsi="Arial" w:cs="Arial"/>
          <w:b/>
          <w:color w:val="185A7D"/>
          <w:sz w:val="32"/>
          <w:szCs w:val="32"/>
        </w:rPr>
      </w:pPr>
      <w:bookmarkStart w:id="14" w:name="_Toc152919609"/>
      <w:r w:rsidRPr="007E78CA">
        <w:rPr>
          <w:rFonts w:ascii="Arial" w:hAnsi="Arial" w:cs="Arial"/>
          <w:b/>
          <w:color w:val="185A7D"/>
          <w:sz w:val="32"/>
          <w:szCs w:val="32"/>
        </w:rPr>
        <w:lastRenderedPageBreak/>
        <w:t>Freedom of Information charges</w:t>
      </w:r>
      <w:bookmarkEnd w:id="13"/>
      <w:bookmarkEnd w:id="14"/>
    </w:p>
    <w:p w14:paraId="7709BABF" w14:textId="71A0D77A" w:rsidR="00EA2FA5" w:rsidRDefault="00CF568A">
      <w:pPr>
        <w:rPr>
          <w:rFonts w:ascii="Arial" w:hAnsi="Arial" w:cs="Arial"/>
          <w:color w:val="000000" w:themeColor="text1"/>
          <w:sz w:val="24"/>
          <w:szCs w:val="24"/>
        </w:rPr>
      </w:pPr>
      <w:r w:rsidRPr="007E78CA">
        <w:rPr>
          <w:rFonts w:ascii="Arial" w:hAnsi="Arial" w:cs="Arial"/>
          <w:color w:val="000000" w:themeColor="text1"/>
          <w:sz w:val="24"/>
          <w:szCs w:val="24"/>
        </w:rPr>
        <w:t>A scale of fees and charges is set under the FOI Act Regulations. Apart from the application fee for non-personal information, all charges are discretionary.</w:t>
      </w:r>
    </w:p>
    <w:tbl>
      <w:tblPr>
        <w:tblStyle w:val="TableGrid"/>
        <w:tblW w:w="935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4"/>
        <w:gridCol w:w="2552"/>
      </w:tblGrid>
      <w:tr w:rsidR="00EA2FA5" w:rsidRPr="00EA2FA5" w14:paraId="0E088B43" w14:textId="77777777" w:rsidTr="007E78CA">
        <w:tc>
          <w:tcPr>
            <w:tcW w:w="9356" w:type="dxa"/>
            <w:gridSpan w:val="2"/>
          </w:tcPr>
          <w:p w14:paraId="4B4E1856" w14:textId="77777777" w:rsidR="00EA2FA5" w:rsidRPr="007E78CA" w:rsidRDefault="00EA2FA5" w:rsidP="008E346F">
            <w:pPr>
              <w:rPr>
                <w:rFonts w:ascii="Arial" w:hAnsi="Arial" w:cs="Arial"/>
                <w:color w:val="000000" w:themeColor="text1"/>
                <w:sz w:val="24"/>
                <w:szCs w:val="24"/>
              </w:rPr>
            </w:pPr>
            <w:r w:rsidRPr="007E78CA">
              <w:rPr>
                <w:rFonts w:ascii="Arial" w:hAnsi="Arial" w:cs="Arial"/>
                <w:b/>
                <w:color w:val="185A7D"/>
                <w:sz w:val="24"/>
                <w:szCs w:val="24"/>
              </w:rPr>
              <w:t>Type of fee</w:t>
            </w:r>
          </w:p>
        </w:tc>
      </w:tr>
      <w:tr w:rsidR="00EA2FA5" w:rsidRPr="00EA2FA5" w14:paraId="045BA91C" w14:textId="77777777" w:rsidTr="007E78CA">
        <w:tc>
          <w:tcPr>
            <w:tcW w:w="6804" w:type="dxa"/>
          </w:tcPr>
          <w:p w14:paraId="78D35204"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Applicant’s personal information</w:t>
            </w:r>
          </w:p>
        </w:tc>
        <w:tc>
          <w:tcPr>
            <w:tcW w:w="2552" w:type="dxa"/>
          </w:tcPr>
          <w:p w14:paraId="5DFE6AFF"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No fee</w:t>
            </w:r>
          </w:p>
        </w:tc>
      </w:tr>
      <w:tr w:rsidR="00EA2FA5" w:rsidRPr="00EA2FA5" w14:paraId="4CFB0538" w14:textId="77777777" w:rsidTr="007E78CA">
        <w:tc>
          <w:tcPr>
            <w:tcW w:w="6804" w:type="dxa"/>
          </w:tcPr>
          <w:p w14:paraId="4B733CEF"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Application fee (non-personal information)</w:t>
            </w:r>
          </w:p>
        </w:tc>
        <w:tc>
          <w:tcPr>
            <w:tcW w:w="2552" w:type="dxa"/>
          </w:tcPr>
          <w:p w14:paraId="1EF58BA5"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$30.00</w:t>
            </w:r>
          </w:p>
        </w:tc>
      </w:tr>
    </w:tbl>
    <w:p w14:paraId="55040BBC" w14:textId="77777777" w:rsidR="00EA2FA5" w:rsidRPr="007E78CA" w:rsidRDefault="00EA2FA5" w:rsidP="007E78CA">
      <w:pPr>
        <w:spacing w:after="40"/>
        <w:rPr>
          <w:rFonts w:ascii="Arial" w:hAnsi="Arial" w:cs="Arial"/>
          <w:color w:val="000000" w:themeColor="text1"/>
          <w:sz w:val="24"/>
          <w:szCs w:val="24"/>
        </w:rPr>
      </w:pPr>
    </w:p>
    <w:tbl>
      <w:tblPr>
        <w:tblStyle w:val="TableGrid"/>
        <w:tblW w:w="935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4"/>
        <w:gridCol w:w="2552"/>
      </w:tblGrid>
      <w:tr w:rsidR="00EA2FA5" w:rsidRPr="00EA2FA5" w14:paraId="4B24D631" w14:textId="77777777" w:rsidTr="007E78CA">
        <w:tc>
          <w:tcPr>
            <w:tcW w:w="9356" w:type="dxa"/>
            <w:gridSpan w:val="2"/>
          </w:tcPr>
          <w:p w14:paraId="174315B3" w14:textId="77777777" w:rsidR="00EA2FA5" w:rsidRPr="007E78CA" w:rsidRDefault="00EA2FA5" w:rsidP="008E346F">
            <w:pPr>
              <w:rPr>
                <w:rFonts w:ascii="Arial" w:hAnsi="Arial" w:cs="Arial"/>
                <w:b/>
                <w:color w:val="185A7D"/>
                <w:sz w:val="24"/>
                <w:szCs w:val="24"/>
              </w:rPr>
            </w:pPr>
            <w:r w:rsidRPr="007E78CA">
              <w:rPr>
                <w:rFonts w:ascii="Arial" w:hAnsi="Arial" w:cs="Arial"/>
                <w:b/>
                <w:color w:val="185A7D"/>
                <w:sz w:val="24"/>
                <w:szCs w:val="24"/>
              </w:rPr>
              <w:t>Type of charge</w:t>
            </w:r>
          </w:p>
          <w:p w14:paraId="03A424CF"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(Details the maximum charge for time dealing with applications)</w:t>
            </w:r>
          </w:p>
        </w:tc>
      </w:tr>
      <w:tr w:rsidR="00EA2FA5" w:rsidRPr="00EA2FA5" w14:paraId="7F3F2CBA" w14:textId="77777777" w:rsidTr="007E78CA">
        <w:tc>
          <w:tcPr>
            <w:tcW w:w="6804" w:type="dxa"/>
          </w:tcPr>
          <w:p w14:paraId="5F39EA18"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Per hour, or pro rata</w:t>
            </w:r>
          </w:p>
        </w:tc>
        <w:tc>
          <w:tcPr>
            <w:tcW w:w="2552" w:type="dxa"/>
          </w:tcPr>
          <w:p w14:paraId="4BD681D2"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$30.00</w:t>
            </w:r>
          </w:p>
        </w:tc>
      </w:tr>
      <w:tr w:rsidR="00EA2FA5" w:rsidRPr="00EA2FA5" w14:paraId="29E9A880" w14:textId="77777777" w:rsidTr="007E78CA">
        <w:tc>
          <w:tcPr>
            <w:tcW w:w="6804" w:type="dxa"/>
          </w:tcPr>
          <w:p w14:paraId="35A3DACD"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Access time supervised by staff (per hour, or pro rata)</w:t>
            </w:r>
            <w:r w:rsidRPr="007E78CA">
              <w:rPr>
                <w:rFonts w:ascii="Arial" w:hAnsi="Arial" w:cs="Arial"/>
                <w:color w:val="000000" w:themeColor="text1"/>
                <w:sz w:val="24"/>
                <w:szCs w:val="24"/>
              </w:rPr>
              <w:tab/>
            </w:r>
          </w:p>
        </w:tc>
        <w:tc>
          <w:tcPr>
            <w:tcW w:w="2552" w:type="dxa"/>
          </w:tcPr>
          <w:p w14:paraId="6A0DAE6E"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$30.00</w:t>
            </w:r>
          </w:p>
        </w:tc>
      </w:tr>
      <w:tr w:rsidR="00EA2FA5" w:rsidRPr="00EA2FA5" w14:paraId="62181C43" w14:textId="77777777" w:rsidTr="007E78CA">
        <w:tc>
          <w:tcPr>
            <w:tcW w:w="6804" w:type="dxa"/>
          </w:tcPr>
          <w:p w14:paraId="03F1F79E"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Photocopying staff time (per hour, or pro rata)</w:t>
            </w:r>
            <w:r w:rsidRPr="007E78CA">
              <w:rPr>
                <w:rFonts w:ascii="Arial" w:hAnsi="Arial" w:cs="Arial"/>
                <w:color w:val="000000" w:themeColor="text1"/>
                <w:sz w:val="24"/>
                <w:szCs w:val="24"/>
              </w:rPr>
              <w:tab/>
            </w:r>
          </w:p>
        </w:tc>
        <w:tc>
          <w:tcPr>
            <w:tcW w:w="2552" w:type="dxa"/>
          </w:tcPr>
          <w:p w14:paraId="74B515F4"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$30.00</w:t>
            </w:r>
          </w:p>
        </w:tc>
      </w:tr>
      <w:tr w:rsidR="00EA2FA5" w:rsidRPr="00EA2FA5" w14:paraId="150B2451" w14:textId="77777777" w:rsidTr="007E78CA">
        <w:tc>
          <w:tcPr>
            <w:tcW w:w="6804" w:type="dxa"/>
          </w:tcPr>
          <w:p w14:paraId="52012276"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Per photocopy</w:t>
            </w:r>
          </w:p>
        </w:tc>
        <w:tc>
          <w:tcPr>
            <w:tcW w:w="2552" w:type="dxa"/>
          </w:tcPr>
          <w:p w14:paraId="1093E6D5"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20 cents</w:t>
            </w:r>
          </w:p>
        </w:tc>
      </w:tr>
      <w:tr w:rsidR="00EA2FA5" w:rsidRPr="00EA2FA5" w14:paraId="3EF57CC3" w14:textId="77777777" w:rsidTr="007E78CA">
        <w:tc>
          <w:tcPr>
            <w:tcW w:w="6804" w:type="dxa"/>
          </w:tcPr>
          <w:p w14:paraId="677CEDF9"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Transcribing from tape, film or computer (per hour or pro rata)</w:t>
            </w:r>
          </w:p>
        </w:tc>
        <w:tc>
          <w:tcPr>
            <w:tcW w:w="2552" w:type="dxa"/>
          </w:tcPr>
          <w:p w14:paraId="3EC24C4A"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$30.00</w:t>
            </w:r>
          </w:p>
        </w:tc>
      </w:tr>
      <w:tr w:rsidR="00EA2FA5" w:rsidRPr="00EA2FA5" w14:paraId="50E5C806" w14:textId="77777777" w:rsidTr="007E78CA">
        <w:tc>
          <w:tcPr>
            <w:tcW w:w="6804" w:type="dxa"/>
          </w:tcPr>
          <w:p w14:paraId="6AC0226C"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Duplicating a tape, film or computer information</w:t>
            </w:r>
            <w:r w:rsidRPr="007E78CA">
              <w:rPr>
                <w:rFonts w:ascii="Arial" w:hAnsi="Arial" w:cs="Arial"/>
                <w:color w:val="000000" w:themeColor="text1"/>
                <w:sz w:val="24"/>
                <w:szCs w:val="24"/>
              </w:rPr>
              <w:tab/>
            </w:r>
            <w:r w:rsidRPr="007E78CA">
              <w:rPr>
                <w:rFonts w:ascii="Arial" w:hAnsi="Arial" w:cs="Arial"/>
                <w:color w:val="000000" w:themeColor="text1"/>
                <w:sz w:val="24"/>
                <w:szCs w:val="24"/>
              </w:rPr>
              <w:tab/>
            </w:r>
          </w:p>
        </w:tc>
        <w:tc>
          <w:tcPr>
            <w:tcW w:w="2552" w:type="dxa"/>
          </w:tcPr>
          <w:p w14:paraId="67F5846A"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Actual cost</w:t>
            </w:r>
          </w:p>
        </w:tc>
      </w:tr>
      <w:tr w:rsidR="00EA2FA5" w:rsidRPr="00EA2FA5" w14:paraId="73FD3569" w14:textId="77777777" w:rsidTr="007E78CA">
        <w:tc>
          <w:tcPr>
            <w:tcW w:w="6804" w:type="dxa"/>
          </w:tcPr>
          <w:p w14:paraId="1A376F24"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Delivery, packaging and postage</w:t>
            </w:r>
          </w:p>
        </w:tc>
        <w:tc>
          <w:tcPr>
            <w:tcW w:w="2552" w:type="dxa"/>
          </w:tcPr>
          <w:p w14:paraId="5BAF6D33"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Actual cost</w:t>
            </w:r>
          </w:p>
        </w:tc>
      </w:tr>
    </w:tbl>
    <w:p w14:paraId="53F6EEF6" w14:textId="77777777" w:rsidR="00EA2FA5" w:rsidRPr="007E78CA" w:rsidRDefault="00EA2FA5" w:rsidP="007E78CA">
      <w:pPr>
        <w:spacing w:after="40"/>
        <w:rPr>
          <w:rFonts w:ascii="Arial" w:hAnsi="Arial" w:cs="Arial"/>
          <w:b/>
          <w:color w:val="000000" w:themeColor="text1"/>
          <w:sz w:val="24"/>
          <w:szCs w:val="24"/>
        </w:rPr>
      </w:pPr>
    </w:p>
    <w:tbl>
      <w:tblPr>
        <w:tblStyle w:val="TableGrid"/>
        <w:tblW w:w="935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4"/>
        <w:gridCol w:w="2552"/>
      </w:tblGrid>
      <w:tr w:rsidR="00EA2FA5" w:rsidRPr="00EA2FA5" w14:paraId="2966A19E" w14:textId="77777777" w:rsidTr="007E78CA">
        <w:tc>
          <w:tcPr>
            <w:tcW w:w="9356" w:type="dxa"/>
            <w:gridSpan w:val="2"/>
          </w:tcPr>
          <w:p w14:paraId="433A29E9" w14:textId="77777777" w:rsidR="00EA2FA5" w:rsidRPr="007E78CA" w:rsidRDefault="00EA2FA5" w:rsidP="008E346F">
            <w:pPr>
              <w:rPr>
                <w:rFonts w:ascii="Arial" w:hAnsi="Arial" w:cs="Arial"/>
                <w:color w:val="000000" w:themeColor="text1"/>
                <w:sz w:val="24"/>
                <w:szCs w:val="24"/>
              </w:rPr>
            </w:pPr>
            <w:r w:rsidRPr="007E78CA">
              <w:rPr>
                <w:rFonts w:ascii="Arial" w:hAnsi="Arial" w:cs="Arial"/>
                <w:b/>
                <w:color w:val="185A7D"/>
                <w:sz w:val="24"/>
                <w:szCs w:val="24"/>
              </w:rPr>
              <w:t>Deposits</w:t>
            </w:r>
          </w:p>
        </w:tc>
      </w:tr>
      <w:tr w:rsidR="00EA2FA5" w:rsidRPr="00EA2FA5" w14:paraId="007E85BC" w14:textId="77777777" w:rsidTr="007E78CA">
        <w:tc>
          <w:tcPr>
            <w:tcW w:w="6804" w:type="dxa"/>
          </w:tcPr>
          <w:p w14:paraId="6152F94C"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Advance deposit may be required of the estimated charges</w:t>
            </w:r>
          </w:p>
        </w:tc>
        <w:tc>
          <w:tcPr>
            <w:tcW w:w="2552" w:type="dxa"/>
          </w:tcPr>
          <w:p w14:paraId="4732BCB7"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25% of total estimated charges</w:t>
            </w:r>
          </w:p>
        </w:tc>
      </w:tr>
      <w:tr w:rsidR="00EA2FA5" w:rsidRPr="00EA2FA5" w14:paraId="027790A4" w14:textId="77777777" w:rsidTr="007E78CA">
        <w:tc>
          <w:tcPr>
            <w:tcW w:w="6804" w:type="dxa"/>
          </w:tcPr>
          <w:p w14:paraId="10DD3B31"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Further advance deposit may be required to meet the charges for dealing with the application</w:t>
            </w:r>
          </w:p>
        </w:tc>
        <w:tc>
          <w:tcPr>
            <w:tcW w:w="2552" w:type="dxa"/>
          </w:tcPr>
          <w:p w14:paraId="12347BA1" w14:textId="77777777" w:rsidR="00EA2FA5" w:rsidRPr="007E78CA" w:rsidRDefault="00EA2FA5" w:rsidP="008E346F">
            <w:pPr>
              <w:rPr>
                <w:rFonts w:ascii="Arial" w:hAnsi="Arial" w:cs="Arial"/>
                <w:color w:val="000000" w:themeColor="text1"/>
                <w:sz w:val="24"/>
                <w:szCs w:val="24"/>
              </w:rPr>
            </w:pPr>
            <w:r w:rsidRPr="007E78CA">
              <w:rPr>
                <w:rFonts w:ascii="Arial" w:hAnsi="Arial" w:cs="Arial"/>
                <w:color w:val="000000" w:themeColor="text1"/>
                <w:sz w:val="24"/>
                <w:szCs w:val="24"/>
              </w:rPr>
              <w:t>75% of total estimated charges</w:t>
            </w:r>
          </w:p>
        </w:tc>
      </w:tr>
    </w:tbl>
    <w:p w14:paraId="3FF4A7CD" w14:textId="77777777" w:rsidR="00EA2FA5" w:rsidRPr="007E78CA" w:rsidRDefault="00EA2FA5" w:rsidP="007E78CA">
      <w:pPr>
        <w:pStyle w:val="Heading3"/>
        <w:spacing w:before="240" w:after="40"/>
        <w:rPr>
          <w:rFonts w:ascii="Arial" w:hAnsi="Arial" w:cs="Arial"/>
          <w:b/>
          <w:color w:val="185A7D"/>
        </w:rPr>
      </w:pPr>
      <w:bookmarkStart w:id="15" w:name="_Toc431456569"/>
      <w:bookmarkStart w:id="16" w:name="_Toc152919610"/>
      <w:r w:rsidRPr="007E78CA">
        <w:rPr>
          <w:rFonts w:ascii="Arial" w:hAnsi="Arial" w:cs="Arial"/>
          <w:b/>
          <w:color w:val="185A7D"/>
        </w:rPr>
        <w:t>Notice of decision</w:t>
      </w:r>
      <w:bookmarkEnd w:id="15"/>
      <w:bookmarkEnd w:id="16"/>
    </w:p>
    <w:p w14:paraId="27D638DC" w14:textId="77777777" w:rsidR="00EA2FA5" w:rsidRPr="007E78CA" w:rsidRDefault="00EA2FA5" w:rsidP="00EA2FA5">
      <w:pPr>
        <w:rPr>
          <w:rFonts w:ascii="Arial" w:hAnsi="Arial" w:cs="Arial"/>
          <w:color w:val="000000" w:themeColor="text1"/>
          <w:sz w:val="24"/>
          <w:szCs w:val="24"/>
        </w:rPr>
      </w:pPr>
      <w:r w:rsidRPr="007E78CA">
        <w:rPr>
          <w:rFonts w:ascii="Arial" w:hAnsi="Arial" w:cs="Arial"/>
          <w:color w:val="000000" w:themeColor="text1"/>
          <w:sz w:val="24"/>
          <w:szCs w:val="24"/>
        </w:rPr>
        <w:t>Within 45 days, or sooner where practicable, the applicant will be provided with a notice of decision that will include:</w:t>
      </w:r>
    </w:p>
    <w:p w14:paraId="60500665" w14:textId="77777777" w:rsidR="00EA2FA5" w:rsidRPr="00EA2FA5" w:rsidRDefault="00EA2FA5" w:rsidP="00EA2FA5">
      <w:pPr>
        <w:pStyle w:val="ListParagraph"/>
        <w:numPr>
          <w:ilvl w:val="0"/>
          <w:numId w:val="5"/>
        </w:numPr>
        <w:rPr>
          <w:rFonts w:cs="Arial"/>
          <w:color w:val="000000" w:themeColor="text1"/>
        </w:rPr>
      </w:pPr>
      <w:r w:rsidRPr="00EA2FA5">
        <w:rPr>
          <w:rFonts w:cs="Arial"/>
          <w:color w:val="000000" w:themeColor="text1"/>
        </w:rPr>
        <w:t>the date the decision was made;</w:t>
      </w:r>
    </w:p>
    <w:p w14:paraId="79122C8D" w14:textId="77777777" w:rsidR="00EA2FA5" w:rsidRPr="00EA2FA5" w:rsidRDefault="00EA2FA5" w:rsidP="00EA2FA5">
      <w:pPr>
        <w:pStyle w:val="ListParagraph"/>
        <w:numPr>
          <w:ilvl w:val="0"/>
          <w:numId w:val="5"/>
        </w:numPr>
        <w:rPr>
          <w:rFonts w:cs="Arial"/>
          <w:color w:val="000000" w:themeColor="text1"/>
        </w:rPr>
      </w:pPr>
      <w:r w:rsidRPr="00EA2FA5">
        <w:rPr>
          <w:rFonts w:cs="Arial"/>
          <w:color w:val="000000" w:themeColor="text1"/>
        </w:rPr>
        <w:t>the name and the designation of the officer who made the decision;</w:t>
      </w:r>
    </w:p>
    <w:p w14:paraId="49441196" w14:textId="77777777" w:rsidR="00EA2FA5" w:rsidRPr="00EA2FA5" w:rsidRDefault="00EA2FA5" w:rsidP="00EA2FA5">
      <w:pPr>
        <w:pStyle w:val="ListParagraph"/>
        <w:numPr>
          <w:ilvl w:val="0"/>
          <w:numId w:val="5"/>
        </w:numPr>
        <w:rPr>
          <w:rFonts w:cs="Arial"/>
          <w:color w:val="000000" w:themeColor="text1"/>
        </w:rPr>
      </w:pPr>
      <w:r w:rsidRPr="00EA2FA5">
        <w:rPr>
          <w:rFonts w:cs="Arial"/>
          <w:color w:val="000000" w:themeColor="text1"/>
        </w:rPr>
        <w:t xml:space="preserve">whether the document is an exempt document, the reasons for classifying the </w:t>
      </w:r>
      <w:r w:rsidR="002C4AA1">
        <w:rPr>
          <w:rFonts w:cs="Arial"/>
          <w:color w:val="000000" w:themeColor="text1"/>
        </w:rPr>
        <w:br/>
      </w:r>
      <w:r w:rsidRPr="00EA2FA5">
        <w:rPr>
          <w:rFonts w:cs="Arial"/>
          <w:color w:val="000000" w:themeColor="text1"/>
        </w:rPr>
        <w:t xml:space="preserve">matter exempt; or the fact that access is given to an edited document; and </w:t>
      </w:r>
    </w:p>
    <w:p w14:paraId="536384C7" w14:textId="77777777" w:rsidR="00EA2FA5" w:rsidRPr="00EA2FA5" w:rsidRDefault="00EA2FA5" w:rsidP="007E78CA">
      <w:pPr>
        <w:pStyle w:val="ListParagraph"/>
        <w:numPr>
          <w:ilvl w:val="0"/>
          <w:numId w:val="5"/>
        </w:numPr>
        <w:spacing w:after="160"/>
        <w:ind w:left="714" w:hanging="357"/>
        <w:rPr>
          <w:rFonts w:cs="Arial"/>
          <w:color w:val="000000" w:themeColor="text1"/>
        </w:rPr>
      </w:pPr>
      <w:r w:rsidRPr="00EA2FA5">
        <w:rPr>
          <w:rFonts w:cs="Arial"/>
          <w:color w:val="000000" w:themeColor="text1"/>
        </w:rPr>
        <w:t xml:space="preserve">information on the rights of review and the procedures to be followed to exercise </w:t>
      </w:r>
      <w:r w:rsidR="002C4AA1">
        <w:rPr>
          <w:rFonts w:cs="Arial"/>
          <w:color w:val="000000" w:themeColor="text1"/>
        </w:rPr>
        <w:br/>
      </w:r>
      <w:r w:rsidRPr="00EA2FA5">
        <w:rPr>
          <w:rFonts w:cs="Arial"/>
          <w:color w:val="000000" w:themeColor="text1"/>
        </w:rPr>
        <w:t>those rights.</w:t>
      </w:r>
    </w:p>
    <w:p w14:paraId="2BE9A59A" w14:textId="77777777" w:rsidR="00EA2FA5" w:rsidRPr="007E78CA" w:rsidRDefault="00EA2FA5" w:rsidP="007E78CA">
      <w:pPr>
        <w:pStyle w:val="Heading3"/>
        <w:spacing w:before="120" w:after="40"/>
        <w:rPr>
          <w:rFonts w:ascii="Arial" w:hAnsi="Arial" w:cs="Arial"/>
          <w:b/>
          <w:color w:val="185A7D"/>
        </w:rPr>
      </w:pPr>
      <w:bookmarkStart w:id="17" w:name="_Toc431456570"/>
      <w:bookmarkStart w:id="18" w:name="_Toc152919611"/>
      <w:r w:rsidRPr="007E78CA">
        <w:rPr>
          <w:rFonts w:ascii="Arial" w:hAnsi="Arial" w:cs="Arial"/>
          <w:b/>
          <w:color w:val="185A7D"/>
        </w:rPr>
        <w:t>Refusal of access</w:t>
      </w:r>
      <w:bookmarkEnd w:id="17"/>
      <w:r w:rsidRPr="007E78CA">
        <w:rPr>
          <w:rFonts w:ascii="Arial" w:hAnsi="Arial" w:cs="Arial"/>
          <w:b/>
          <w:color w:val="185A7D"/>
        </w:rPr>
        <w:t xml:space="preserve"> and internal reviews</w:t>
      </w:r>
      <w:bookmarkEnd w:id="18"/>
    </w:p>
    <w:p w14:paraId="3D82E095" w14:textId="77777777" w:rsidR="00EA2FA5" w:rsidRPr="007E78CA" w:rsidRDefault="00EA2FA5" w:rsidP="00EA2FA5">
      <w:pPr>
        <w:rPr>
          <w:rFonts w:ascii="Arial" w:hAnsi="Arial" w:cs="Arial"/>
          <w:color w:val="000000" w:themeColor="text1"/>
          <w:sz w:val="24"/>
          <w:szCs w:val="24"/>
        </w:rPr>
      </w:pPr>
      <w:r w:rsidRPr="007E78CA">
        <w:rPr>
          <w:rFonts w:ascii="Arial" w:hAnsi="Arial" w:cs="Arial"/>
          <w:color w:val="000000" w:themeColor="text1"/>
          <w:sz w:val="24"/>
          <w:szCs w:val="24"/>
        </w:rPr>
        <w:t>Applicants who are dissatisfied with a decision of the agency are entitled to ask for an internal review by the SBDC. Applications should be made in writing within 30 days of receiving the notice of decision.</w:t>
      </w:r>
    </w:p>
    <w:p w14:paraId="60EE9396" w14:textId="77777777" w:rsidR="00EA2FA5" w:rsidRPr="007E78CA" w:rsidRDefault="00EA2FA5" w:rsidP="00EA2FA5">
      <w:pPr>
        <w:rPr>
          <w:rFonts w:ascii="Arial" w:hAnsi="Arial" w:cs="Arial"/>
          <w:color w:val="000000" w:themeColor="text1"/>
          <w:sz w:val="24"/>
          <w:szCs w:val="24"/>
        </w:rPr>
      </w:pPr>
      <w:r w:rsidRPr="007E78CA">
        <w:rPr>
          <w:rFonts w:ascii="Arial" w:hAnsi="Arial" w:cs="Arial"/>
          <w:color w:val="000000" w:themeColor="text1"/>
          <w:sz w:val="24"/>
          <w:szCs w:val="24"/>
        </w:rPr>
        <w:t>Applicants should be notified of the outcome of the review within 15 days.</w:t>
      </w:r>
    </w:p>
    <w:p w14:paraId="3BA0CB11" w14:textId="77777777" w:rsidR="00EA2FA5" w:rsidRPr="007E78CA" w:rsidRDefault="00EA2FA5" w:rsidP="00EA2FA5">
      <w:pPr>
        <w:rPr>
          <w:rFonts w:ascii="Arial" w:hAnsi="Arial" w:cs="Arial"/>
          <w:color w:val="000000" w:themeColor="text1"/>
          <w:sz w:val="24"/>
          <w:szCs w:val="24"/>
        </w:rPr>
      </w:pPr>
      <w:r w:rsidRPr="007E78CA">
        <w:rPr>
          <w:rFonts w:ascii="Arial" w:hAnsi="Arial" w:cs="Arial"/>
          <w:color w:val="000000" w:themeColor="text1"/>
          <w:sz w:val="24"/>
          <w:szCs w:val="24"/>
        </w:rPr>
        <w:t>If the applicant disagrees with the result the applicant can apply to the Information Commissioner for external review.</w:t>
      </w:r>
    </w:p>
    <w:p w14:paraId="229B2265" w14:textId="77777777" w:rsidR="00EA2FA5" w:rsidRPr="007E78CA" w:rsidRDefault="00EA2FA5" w:rsidP="007E78CA">
      <w:pPr>
        <w:pStyle w:val="Heading3"/>
        <w:spacing w:before="120" w:after="40"/>
        <w:rPr>
          <w:rFonts w:ascii="Arial" w:hAnsi="Arial" w:cs="Arial"/>
          <w:b/>
          <w:color w:val="185A7D"/>
        </w:rPr>
      </w:pPr>
      <w:bookmarkStart w:id="19" w:name="_Toc431456571"/>
      <w:bookmarkStart w:id="20" w:name="_Toc152919612"/>
      <w:r w:rsidRPr="007E78CA">
        <w:rPr>
          <w:rFonts w:ascii="Arial" w:hAnsi="Arial" w:cs="Arial"/>
          <w:b/>
          <w:color w:val="185A7D"/>
        </w:rPr>
        <w:lastRenderedPageBreak/>
        <w:t>External review</w:t>
      </w:r>
      <w:bookmarkEnd w:id="19"/>
      <w:bookmarkEnd w:id="20"/>
    </w:p>
    <w:p w14:paraId="348340A7" w14:textId="77777777" w:rsidR="00900CF9" w:rsidRDefault="00EA2FA5" w:rsidP="00EA2FA5">
      <w:pPr>
        <w:rPr>
          <w:rFonts w:ascii="Arial" w:hAnsi="Arial" w:cs="Arial"/>
          <w:color w:val="000000" w:themeColor="text1"/>
          <w:sz w:val="24"/>
          <w:szCs w:val="24"/>
        </w:rPr>
      </w:pPr>
      <w:r w:rsidRPr="007E78CA">
        <w:rPr>
          <w:rFonts w:ascii="Arial" w:hAnsi="Arial" w:cs="Arial"/>
          <w:color w:val="000000" w:themeColor="text1"/>
          <w:sz w:val="24"/>
          <w:szCs w:val="24"/>
        </w:rPr>
        <w:t>If you are not satisfied with the internal review decision, you have the right to lodge an application for external review with the Information Commissioner within 60 days of receiving the notice of decision.</w:t>
      </w:r>
    </w:p>
    <w:p w14:paraId="2A5416D8" w14:textId="77777777" w:rsidR="00EA2FA5" w:rsidRPr="007E78CA" w:rsidRDefault="00EA2FA5" w:rsidP="007E78CA">
      <w:pPr>
        <w:spacing w:after="60"/>
        <w:rPr>
          <w:rFonts w:ascii="Arial" w:hAnsi="Arial" w:cs="Arial"/>
          <w:color w:val="000000" w:themeColor="text1"/>
          <w:sz w:val="24"/>
          <w:szCs w:val="24"/>
        </w:rPr>
      </w:pPr>
      <w:r w:rsidRPr="007E78CA">
        <w:rPr>
          <w:rFonts w:ascii="Arial" w:hAnsi="Arial" w:cs="Arial"/>
          <w:color w:val="000000" w:themeColor="text1"/>
          <w:sz w:val="24"/>
          <w:szCs w:val="24"/>
        </w:rPr>
        <w:t>An application for external review to the Information Commissioner must:</w:t>
      </w:r>
    </w:p>
    <w:p w14:paraId="76FD1D94" w14:textId="77777777" w:rsidR="00EA2FA5" w:rsidRPr="00EA2FA5" w:rsidRDefault="00EA2FA5" w:rsidP="00EA2FA5">
      <w:pPr>
        <w:pStyle w:val="ListParagraph"/>
        <w:numPr>
          <w:ilvl w:val="0"/>
          <w:numId w:val="6"/>
        </w:numPr>
        <w:rPr>
          <w:rFonts w:cs="Arial"/>
          <w:color w:val="000000" w:themeColor="text1"/>
        </w:rPr>
      </w:pPr>
      <w:r w:rsidRPr="00EA2FA5">
        <w:rPr>
          <w:rFonts w:cs="Arial"/>
          <w:color w:val="000000" w:themeColor="text1"/>
        </w:rPr>
        <w:t>be in writing;</w:t>
      </w:r>
    </w:p>
    <w:p w14:paraId="6764B10C" w14:textId="77777777" w:rsidR="00EA2FA5" w:rsidRPr="00EA2FA5" w:rsidRDefault="00EA2FA5" w:rsidP="00EA2FA5">
      <w:pPr>
        <w:pStyle w:val="ListParagraph"/>
        <w:numPr>
          <w:ilvl w:val="0"/>
          <w:numId w:val="6"/>
        </w:numPr>
        <w:rPr>
          <w:rFonts w:cs="Arial"/>
          <w:color w:val="000000" w:themeColor="text1"/>
        </w:rPr>
      </w:pPr>
      <w:r w:rsidRPr="00EA2FA5">
        <w:rPr>
          <w:rFonts w:cs="Arial"/>
          <w:color w:val="000000" w:themeColor="text1"/>
        </w:rPr>
        <w:t xml:space="preserve">have attached a copy of the decision; and </w:t>
      </w:r>
    </w:p>
    <w:p w14:paraId="1CE903FC" w14:textId="77777777" w:rsidR="00EA2FA5" w:rsidRPr="002C4AA1" w:rsidRDefault="00EA2FA5" w:rsidP="007E78CA">
      <w:pPr>
        <w:pStyle w:val="ListParagraph"/>
        <w:numPr>
          <w:ilvl w:val="0"/>
          <w:numId w:val="6"/>
        </w:numPr>
        <w:spacing w:after="160"/>
        <w:ind w:left="714" w:hanging="357"/>
        <w:rPr>
          <w:rFonts w:cs="Arial"/>
          <w:color w:val="000000" w:themeColor="text1"/>
        </w:rPr>
      </w:pPr>
      <w:r w:rsidRPr="00EA2FA5">
        <w:rPr>
          <w:rFonts w:cs="Arial"/>
          <w:color w:val="000000" w:themeColor="text1"/>
        </w:rPr>
        <w:t>give an Australian address.</w:t>
      </w:r>
    </w:p>
    <w:p w14:paraId="324AA03B" w14:textId="77777777" w:rsidR="00EA2FA5" w:rsidRPr="007E78CA" w:rsidRDefault="00EA2FA5" w:rsidP="00EA2FA5">
      <w:pPr>
        <w:rPr>
          <w:rFonts w:ascii="Arial" w:hAnsi="Arial" w:cs="Arial"/>
          <w:color w:val="000000" w:themeColor="text1"/>
          <w:sz w:val="24"/>
          <w:szCs w:val="24"/>
        </w:rPr>
      </w:pPr>
      <w:r w:rsidRPr="007E78CA">
        <w:rPr>
          <w:rFonts w:ascii="Arial" w:hAnsi="Arial" w:cs="Arial"/>
          <w:color w:val="000000" w:themeColor="text1"/>
          <w:sz w:val="24"/>
          <w:szCs w:val="24"/>
        </w:rPr>
        <w:t xml:space="preserve">There is no charge for lodging an application for external review with the Information Commissioner’s office. </w:t>
      </w:r>
    </w:p>
    <w:p w14:paraId="73F1CE6C" w14:textId="77777777" w:rsidR="00EA2FA5" w:rsidRPr="007E78CA" w:rsidRDefault="00EA2FA5" w:rsidP="007E78CA">
      <w:pPr>
        <w:spacing w:after="120"/>
        <w:rPr>
          <w:rFonts w:ascii="Arial" w:hAnsi="Arial" w:cs="Arial"/>
          <w:color w:val="000000" w:themeColor="text1"/>
          <w:sz w:val="24"/>
          <w:szCs w:val="24"/>
        </w:rPr>
      </w:pPr>
      <w:r w:rsidRPr="007E78CA">
        <w:rPr>
          <w:rFonts w:ascii="Arial" w:hAnsi="Arial" w:cs="Arial"/>
          <w:color w:val="000000" w:themeColor="text1"/>
          <w:sz w:val="24"/>
          <w:szCs w:val="24"/>
        </w:rPr>
        <w:t>External review applications are to be sent to:</w:t>
      </w:r>
    </w:p>
    <w:p w14:paraId="1E890105" w14:textId="77777777" w:rsidR="00EA2FA5" w:rsidRPr="0099671B" w:rsidRDefault="00EA2FA5" w:rsidP="007E78CA">
      <w:pPr>
        <w:spacing w:after="40"/>
        <w:rPr>
          <w:rFonts w:ascii="Arial" w:hAnsi="Arial" w:cs="Arial"/>
          <w:b/>
          <w:bCs/>
          <w:color w:val="000000" w:themeColor="text1"/>
          <w:sz w:val="24"/>
          <w:szCs w:val="24"/>
        </w:rPr>
      </w:pPr>
      <w:r w:rsidRPr="0099671B">
        <w:rPr>
          <w:rFonts w:ascii="Arial" w:hAnsi="Arial" w:cs="Arial"/>
          <w:b/>
          <w:bCs/>
          <w:color w:val="000000" w:themeColor="text1"/>
          <w:sz w:val="24"/>
          <w:szCs w:val="24"/>
        </w:rPr>
        <w:t>Office of the Information Commissioner</w:t>
      </w:r>
    </w:p>
    <w:p w14:paraId="08F8D2FE" w14:textId="77777777" w:rsidR="00EA2FA5" w:rsidRPr="007E78CA" w:rsidRDefault="00EA2FA5" w:rsidP="007E78CA">
      <w:pPr>
        <w:spacing w:after="40"/>
        <w:rPr>
          <w:rFonts w:ascii="Arial" w:hAnsi="Arial" w:cs="Arial"/>
          <w:color w:val="000000" w:themeColor="text1"/>
          <w:sz w:val="24"/>
          <w:szCs w:val="24"/>
        </w:rPr>
      </w:pPr>
      <w:r w:rsidRPr="007E78CA">
        <w:rPr>
          <w:rFonts w:ascii="Arial" w:hAnsi="Arial" w:cs="Arial"/>
          <w:color w:val="000000" w:themeColor="text1"/>
          <w:sz w:val="24"/>
          <w:szCs w:val="24"/>
        </w:rPr>
        <w:t>Albert Facey House</w:t>
      </w:r>
    </w:p>
    <w:p w14:paraId="4CC31A43" w14:textId="77777777" w:rsidR="00EA2FA5" w:rsidRPr="007E78CA" w:rsidRDefault="00EA2FA5" w:rsidP="007E78CA">
      <w:pPr>
        <w:spacing w:after="40"/>
        <w:rPr>
          <w:rFonts w:ascii="Arial" w:hAnsi="Arial" w:cs="Arial"/>
          <w:color w:val="000000" w:themeColor="text1"/>
          <w:sz w:val="24"/>
          <w:szCs w:val="24"/>
        </w:rPr>
      </w:pPr>
      <w:r w:rsidRPr="007E78CA">
        <w:rPr>
          <w:rFonts w:ascii="Arial" w:hAnsi="Arial" w:cs="Arial"/>
          <w:color w:val="000000" w:themeColor="text1"/>
          <w:sz w:val="24"/>
          <w:szCs w:val="24"/>
        </w:rPr>
        <w:t>496 Wellington Street</w:t>
      </w:r>
    </w:p>
    <w:p w14:paraId="73D35AD2" w14:textId="77777777" w:rsidR="00EA2FA5" w:rsidRPr="007E78CA" w:rsidRDefault="00EA2FA5" w:rsidP="00EA2FA5">
      <w:pPr>
        <w:rPr>
          <w:rFonts w:ascii="Arial" w:hAnsi="Arial" w:cs="Arial"/>
          <w:color w:val="000000" w:themeColor="text1"/>
          <w:sz w:val="24"/>
          <w:szCs w:val="24"/>
        </w:rPr>
      </w:pPr>
      <w:r w:rsidRPr="007E78CA">
        <w:rPr>
          <w:rFonts w:ascii="Arial" w:hAnsi="Arial" w:cs="Arial"/>
          <w:color w:val="000000" w:themeColor="text1"/>
          <w:sz w:val="24"/>
          <w:szCs w:val="24"/>
        </w:rPr>
        <w:t>Perth WA 6000</w:t>
      </w:r>
    </w:p>
    <w:p w14:paraId="0E502C5E" w14:textId="77777777" w:rsidR="00EA2FA5" w:rsidRPr="007E78CA" w:rsidRDefault="00EA2FA5" w:rsidP="00EA2FA5">
      <w:pPr>
        <w:rPr>
          <w:rFonts w:ascii="Arial" w:hAnsi="Arial" w:cs="Arial"/>
          <w:color w:val="000000" w:themeColor="text1"/>
          <w:sz w:val="24"/>
          <w:szCs w:val="24"/>
        </w:rPr>
      </w:pPr>
      <w:r w:rsidRPr="007E78CA">
        <w:rPr>
          <w:rFonts w:ascii="Arial" w:hAnsi="Arial" w:cs="Arial"/>
          <w:color w:val="000000" w:themeColor="text1"/>
          <w:sz w:val="24"/>
          <w:szCs w:val="24"/>
        </w:rPr>
        <w:t xml:space="preserve">Further detail about Freedom of Information is available at the </w:t>
      </w:r>
      <w:hyperlink r:id="rId15" w:history="1">
        <w:r w:rsidRPr="007E78CA">
          <w:rPr>
            <w:rStyle w:val="Hyperlink"/>
            <w:rFonts w:ascii="Arial" w:hAnsi="Arial" w:cs="Arial"/>
            <w:sz w:val="24"/>
            <w:szCs w:val="24"/>
          </w:rPr>
          <w:t>Office of the Information Commissioner website</w:t>
        </w:r>
      </w:hyperlink>
      <w:r w:rsidRPr="007E78CA">
        <w:rPr>
          <w:rFonts w:ascii="Arial" w:hAnsi="Arial" w:cs="Arial"/>
          <w:color w:val="000000" w:themeColor="text1"/>
          <w:sz w:val="24"/>
          <w:szCs w:val="24"/>
        </w:rPr>
        <w:t>.</w:t>
      </w:r>
    </w:p>
    <w:p w14:paraId="34C2D237" w14:textId="77777777" w:rsidR="00EA2FA5" w:rsidRPr="007E78CA" w:rsidRDefault="00EA2FA5" w:rsidP="00EA2FA5">
      <w:pPr>
        <w:rPr>
          <w:rFonts w:ascii="Arial" w:hAnsi="Arial" w:cs="Arial"/>
          <w:color w:val="000000" w:themeColor="text1"/>
          <w:sz w:val="24"/>
          <w:szCs w:val="24"/>
        </w:rPr>
      </w:pPr>
    </w:p>
    <w:p w14:paraId="31074712" w14:textId="77777777" w:rsidR="0011079F" w:rsidRPr="007E78CA" w:rsidRDefault="0011079F" w:rsidP="00CF568A">
      <w:pPr>
        <w:rPr>
          <w:rFonts w:ascii="Arial" w:hAnsi="Arial" w:cs="Arial"/>
          <w:sz w:val="24"/>
          <w:szCs w:val="24"/>
        </w:rPr>
      </w:pPr>
    </w:p>
    <w:sectPr w:rsidR="0011079F" w:rsidRPr="007E78CA" w:rsidSect="00774F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68D5" w14:textId="77777777" w:rsidR="00161C4D" w:rsidRDefault="00161C4D" w:rsidP="0011079F">
      <w:pPr>
        <w:spacing w:after="0" w:line="240" w:lineRule="auto"/>
      </w:pPr>
      <w:r>
        <w:separator/>
      </w:r>
    </w:p>
  </w:endnote>
  <w:endnote w:type="continuationSeparator" w:id="0">
    <w:p w14:paraId="54CE5B4D" w14:textId="77777777" w:rsidR="00161C4D" w:rsidRDefault="00161C4D" w:rsidP="0011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BA80" w14:textId="296E7759" w:rsidR="00E143EB" w:rsidRDefault="00E143EB" w:rsidP="00E143EB">
    <w:pPr>
      <w:pStyle w:val="Footer"/>
      <w:ind w:right="440"/>
    </w:pPr>
    <w:r>
      <w:t xml:space="preserve">                                                                                                    OFFICIAL</w:t>
    </w:r>
    <w:r>
      <w:tab/>
    </w:r>
    <w:r>
      <w:tab/>
      <w:t xml:space="preserve">          </w:t>
    </w:r>
    <w:sdt>
      <w:sdtPr>
        <w:id w:val="-1539509202"/>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14:paraId="15EDD900" w14:textId="77777777" w:rsidR="00E143EB" w:rsidRDefault="00E1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66D8" w14:textId="77777777" w:rsidR="00161C4D" w:rsidRDefault="00161C4D" w:rsidP="0011079F">
      <w:pPr>
        <w:spacing w:after="0" w:line="240" w:lineRule="auto"/>
      </w:pPr>
      <w:r>
        <w:separator/>
      </w:r>
    </w:p>
  </w:footnote>
  <w:footnote w:type="continuationSeparator" w:id="0">
    <w:p w14:paraId="47B6FA83" w14:textId="77777777" w:rsidR="00161C4D" w:rsidRDefault="00161C4D" w:rsidP="00110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96F3" w14:textId="77777777" w:rsidR="0011079F" w:rsidRDefault="0011079F">
    <w:pPr>
      <w:pStyle w:val="Header"/>
    </w:pPr>
    <w:r>
      <w:rPr>
        <w:noProof/>
      </w:rPr>
      <w:drawing>
        <wp:anchor distT="0" distB="0" distL="114300" distR="114300" simplePos="0" relativeHeight="251659264" behindDoc="0" locked="0" layoutInCell="1" allowOverlap="1" wp14:anchorId="188D0FEF" wp14:editId="76A90203">
          <wp:simplePos x="0" y="0"/>
          <wp:positionH relativeFrom="margin">
            <wp:posOffset>-123825</wp:posOffset>
          </wp:positionH>
          <wp:positionV relativeFrom="paragraph">
            <wp:posOffset>7620</wp:posOffset>
          </wp:positionV>
          <wp:extent cx="6822440" cy="1158240"/>
          <wp:effectExtent l="0" t="0" r="0" b="3810"/>
          <wp:wrapSquare wrapText="bothSides"/>
          <wp:docPr id="1547540696" name="Picture 1547540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BDC Word Doc Header_Cr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2440" cy="1158240"/>
                  </a:xfrm>
                  <a:prstGeom prst="rect">
                    <a:avLst/>
                  </a:prstGeom>
                </pic:spPr>
              </pic:pic>
            </a:graphicData>
          </a:graphic>
          <wp14:sizeRelH relativeFrom="margin">
            <wp14:pctWidth>0</wp14:pctWidth>
          </wp14:sizeRelH>
          <wp14:sizeRelV relativeFrom="margin">
            <wp14:pctHeight>0</wp14:pctHeight>
          </wp14:sizeRelV>
        </wp:anchor>
      </w:drawing>
    </w:r>
  </w:p>
  <w:p w14:paraId="40BEC112" w14:textId="77777777" w:rsidR="0011079F" w:rsidRDefault="00110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DDC"/>
    <w:multiLevelType w:val="hybridMultilevel"/>
    <w:tmpl w:val="B3D0E8E8"/>
    <w:lvl w:ilvl="0" w:tplc="8E58610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6962C7"/>
    <w:multiLevelType w:val="hybridMultilevel"/>
    <w:tmpl w:val="94EE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280B18"/>
    <w:multiLevelType w:val="hybridMultilevel"/>
    <w:tmpl w:val="7F28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D9645E"/>
    <w:multiLevelType w:val="hybridMultilevel"/>
    <w:tmpl w:val="646E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941D8F"/>
    <w:multiLevelType w:val="hybridMultilevel"/>
    <w:tmpl w:val="5DBE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F010E7"/>
    <w:multiLevelType w:val="multilevel"/>
    <w:tmpl w:val="51580CE0"/>
    <w:lvl w:ilvl="0">
      <w:start w:val="1"/>
      <w:numFmt w:val="decimal"/>
      <w:pStyle w:val="PolicyBulletsBoldBlu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1249936">
    <w:abstractNumId w:val="0"/>
  </w:num>
  <w:num w:numId="2" w16cid:durableId="1018700219">
    <w:abstractNumId w:val="5"/>
  </w:num>
  <w:num w:numId="3" w16cid:durableId="685181157">
    <w:abstractNumId w:val="3"/>
  </w:num>
  <w:num w:numId="4" w16cid:durableId="1858696974">
    <w:abstractNumId w:val="2"/>
  </w:num>
  <w:num w:numId="5" w16cid:durableId="677780426">
    <w:abstractNumId w:val="1"/>
  </w:num>
  <w:num w:numId="6" w16cid:durableId="369303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9F"/>
    <w:rsid w:val="0011079F"/>
    <w:rsid w:val="00126DBA"/>
    <w:rsid w:val="00161C4D"/>
    <w:rsid w:val="002C1358"/>
    <w:rsid w:val="002C4AA1"/>
    <w:rsid w:val="0033131A"/>
    <w:rsid w:val="004B0909"/>
    <w:rsid w:val="004F62C7"/>
    <w:rsid w:val="00536FA1"/>
    <w:rsid w:val="006F3807"/>
    <w:rsid w:val="00740580"/>
    <w:rsid w:val="00774F00"/>
    <w:rsid w:val="007E78CA"/>
    <w:rsid w:val="00900CF9"/>
    <w:rsid w:val="00906763"/>
    <w:rsid w:val="00980D3C"/>
    <w:rsid w:val="0099671B"/>
    <w:rsid w:val="00B04381"/>
    <w:rsid w:val="00C15C70"/>
    <w:rsid w:val="00C33DB2"/>
    <w:rsid w:val="00CD6CEB"/>
    <w:rsid w:val="00CF568A"/>
    <w:rsid w:val="00E143EB"/>
    <w:rsid w:val="00EA2F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B7C5"/>
  <w15:chartTrackingRefBased/>
  <w15:docId w15:val="{CE5F652D-D81E-42DF-ACCD-229AFCF8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107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ubHeading14pt">
    <w:name w:val="Policy Sub Heading 14pt"/>
    <w:link w:val="PolicySubHeading14ptChar"/>
    <w:qFormat/>
    <w:rsid w:val="00B04381"/>
    <w:pPr>
      <w:spacing w:after="240" w:line="276" w:lineRule="auto"/>
    </w:pPr>
    <w:rPr>
      <w:rFonts w:ascii="Arial" w:eastAsiaTheme="majorEastAsia" w:hAnsi="Arial" w:cs="Arial"/>
      <w:color w:val="185A7D"/>
      <w:sz w:val="28"/>
      <w:szCs w:val="28"/>
      <w:lang w:val="en-US" w:eastAsia="en-US"/>
    </w:rPr>
  </w:style>
  <w:style w:type="character" w:customStyle="1" w:styleId="PolicySubHeading14ptChar">
    <w:name w:val="Policy Sub Heading 14pt Char"/>
    <w:basedOn w:val="DefaultParagraphFont"/>
    <w:link w:val="PolicySubHeading14pt"/>
    <w:rsid w:val="00B04381"/>
    <w:rPr>
      <w:rFonts w:ascii="Arial" w:eastAsiaTheme="majorEastAsia" w:hAnsi="Arial" w:cs="Arial"/>
      <w:color w:val="185A7D"/>
      <w:sz w:val="28"/>
      <w:szCs w:val="28"/>
      <w:lang w:val="en-US" w:eastAsia="en-US"/>
    </w:rPr>
  </w:style>
  <w:style w:type="paragraph" w:customStyle="1" w:styleId="PolicyBoldedTextBlue">
    <w:name w:val="Policy Bolded Text Blue"/>
    <w:link w:val="PolicyBoldedTextBlueChar"/>
    <w:qFormat/>
    <w:rsid w:val="00B04381"/>
    <w:pPr>
      <w:spacing w:line="360" w:lineRule="auto"/>
    </w:pPr>
    <w:rPr>
      <w:rFonts w:ascii="Arial" w:hAnsi="Arial" w:cs="Arial"/>
      <w:b/>
      <w:color w:val="185A7D"/>
      <w:kern w:val="24"/>
      <w:lang w:val="en-US"/>
    </w:rPr>
  </w:style>
  <w:style w:type="character" w:customStyle="1" w:styleId="PolicyBoldedTextBlueChar">
    <w:name w:val="Policy Bolded Text Blue Char"/>
    <w:basedOn w:val="DefaultParagraphFont"/>
    <w:link w:val="PolicyBoldedTextBlue"/>
    <w:rsid w:val="00B04381"/>
    <w:rPr>
      <w:rFonts w:ascii="Arial" w:hAnsi="Arial" w:cs="Arial"/>
      <w:b/>
      <w:color w:val="185A7D"/>
      <w:kern w:val="24"/>
      <w:lang w:val="en-US"/>
    </w:rPr>
  </w:style>
  <w:style w:type="paragraph" w:customStyle="1" w:styleId="PolicyDocumentHeader">
    <w:name w:val="Policy Document Header"/>
    <w:link w:val="PolicyDocumentHeaderChar"/>
    <w:qFormat/>
    <w:rsid w:val="00B04381"/>
    <w:pPr>
      <w:spacing w:line="276" w:lineRule="auto"/>
    </w:pPr>
    <w:rPr>
      <w:rFonts w:ascii="Arial" w:hAnsi="Arial" w:cs="Arial"/>
      <w:b/>
      <w:color w:val="185A7D"/>
      <w:kern w:val="24"/>
      <w:sz w:val="36"/>
      <w:szCs w:val="36"/>
      <w:lang w:val="en-US"/>
    </w:rPr>
  </w:style>
  <w:style w:type="character" w:customStyle="1" w:styleId="PolicyDocumentHeaderChar">
    <w:name w:val="Policy Document Header Char"/>
    <w:basedOn w:val="DefaultParagraphFont"/>
    <w:link w:val="PolicyDocumentHeader"/>
    <w:rsid w:val="00B04381"/>
    <w:rPr>
      <w:rFonts w:ascii="Arial" w:hAnsi="Arial" w:cs="Arial"/>
      <w:b/>
      <w:color w:val="185A7D"/>
      <w:kern w:val="24"/>
      <w:sz w:val="36"/>
      <w:szCs w:val="36"/>
      <w:lang w:val="en-US"/>
    </w:rPr>
  </w:style>
  <w:style w:type="paragraph" w:customStyle="1" w:styleId="PolicySubHeadingBold16pt">
    <w:name w:val="Policy Sub Heading Bold 16pt"/>
    <w:basedOn w:val="PolicyDocumentHeader"/>
    <w:link w:val="PolicySubHeadingBold16ptChar"/>
    <w:qFormat/>
    <w:rsid w:val="00B04381"/>
    <w:pPr>
      <w:spacing w:before="120" w:after="280"/>
    </w:pPr>
    <w:rPr>
      <w:sz w:val="32"/>
      <w:szCs w:val="32"/>
    </w:rPr>
  </w:style>
  <w:style w:type="character" w:customStyle="1" w:styleId="PolicySubHeadingBold16ptChar">
    <w:name w:val="Policy Sub Heading Bold 16pt Char"/>
    <w:basedOn w:val="PolicyDocumentHeaderChar"/>
    <w:link w:val="PolicySubHeadingBold16pt"/>
    <w:rsid w:val="00B04381"/>
    <w:rPr>
      <w:rFonts w:ascii="Arial" w:hAnsi="Arial" w:cs="Arial"/>
      <w:b/>
      <w:color w:val="185A7D"/>
      <w:kern w:val="24"/>
      <w:sz w:val="32"/>
      <w:szCs w:val="32"/>
      <w:lang w:val="en-US"/>
    </w:rPr>
  </w:style>
  <w:style w:type="paragraph" w:customStyle="1" w:styleId="PolicyBodyText">
    <w:name w:val="Policy Body Text"/>
    <w:basedOn w:val="Normal"/>
    <w:link w:val="PolicyBodyTextChar"/>
    <w:qFormat/>
    <w:rsid w:val="00B04381"/>
    <w:pPr>
      <w:autoSpaceDE w:val="0"/>
      <w:autoSpaceDN w:val="0"/>
      <w:adjustRightInd w:val="0"/>
      <w:spacing w:after="240" w:line="276" w:lineRule="auto"/>
    </w:pPr>
    <w:rPr>
      <w:rFonts w:ascii="Arial" w:hAnsi="Arial" w:cs="Arial"/>
      <w:kern w:val="24"/>
      <w:sz w:val="24"/>
      <w:szCs w:val="36"/>
    </w:rPr>
  </w:style>
  <w:style w:type="character" w:customStyle="1" w:styleId="PolicyBodyTextChar">
    <w:name w:val="Policy Body Text Char"/>
    <w:basedOn w:val="DefaultParagraphFont"/>
    <w:link w:val="PolicyBodyText"/>
    <w:rsid w:val="00B04381"/>
    <w:rPr>
      <w:rFonts w:ascii="Arial" w:hAnsi="Arial" w:cs="Arial"/>
      <w:kern w:val="24"/>
      <w:sz w:val="24"/>
      <w:szCs w:val="36"/>
    </w:rPr>
  </w:style>
  <w:style w:type="paragraph" w:customStyle="1" w:styleId="PolicyBulletsBoldBlue">
    <w:name w:val="Policy Bullets Bold Blue"/>
    <w:link w:val="PolicyBulletsBoldBlueChar"/>
    <w:qFormat/>
    <w:rsid w:val="00B04381"/>
    <w:pPr>
      <w:numPr>
        <w:numId w:val="2"/>
      </w:numPr>
      <w:spacing w:line="276" w:lineRule="auto"/>
      <w:ind w:left="360" w:hanging="360"/>
    </w:pPr>
    <w:rPr>
      <w:rFonts w:ascii="Arial" w:hAnsi="Arial" w:cs="Arial"/>
      <w:color w:val="185A7D"/>
      <w:kern w:val="24"/>
      <w:sz w:val="24"/>
      <w:szCs w:val="36"/>
    </w:rPr>
  </w:style>
  <w:style w:type="character" w:customStyle="1" w:styleId="PolicyBulletsBoldBlueChar">
    <w:name w:val="Policy Bullets Bold Blue Char"/>
    <w:basedOn w:val="DefaultParagraphFont"/>
    <w:link w:val="PolicyBulletsBoldBlue"/>
    <w:rsid w:val="00B04381"/>
    <w:rPr>
      <w:rFonts w:ascii="Arial" w:hAnsi="Arial" w:cs="Arial"/>
      <w:color w:val="185A7D"/>
      <w:kern w:val="24"/>
      <w:sz w:val="24"/>
      <w:szCs w:val="36"/>
    </w:rPr>
  </w:style>
  <w:style w:type="paragraph" w:styleId="Header">
    <w:name w:val="header"/>
    <w:basedOn w:val="Normal"/>
    <w:link w:val="HeaderChar"/>
    <w:uiPriority w:val="99"/>
    <w:unhideWhenUsed/>
    <w:rsid w:val="00110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79F"/>
  </w:style>
  <w:style w:type="paragraph" w:styleId="Footer">
    <w:name w:val="footer"/>
    <w:basedOn w:val="Normal"/>
    <w:link w:val="FooterChar"/>
    <w:uiPriority w:val="99"/>
    <w:unhideWhenUsed/>
    <w:rsid w:val="00110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79F"/>
  </w:style>
  <w:style w:type="character" w:styleId="Hyperlink">
    <w:name w:val="Hyperlink"/>
    <w:basedOn w:val="DefaultParagraphFont"/>
    <w:uiPriority w:val="99"/>
    <w:unhideWhenUsed/>
    <w:rsid w:val="0011079F"/>
    <w:rPr>
      <w:color w:val="0563C1" w:themeColor="hyperlink"/>
      <w:u w:val="single"/>
    </w:rPr>
  </w:style>
  <w:style w:type="character" w:customStyle="1" w:styleId="Heading1Char">
    <w:name w:val="Heading 1 Char"/>
    <w:basedOn w:val="DefaultParagraphFont"/>
    <w:link w:val="Heading1"/>
    <w:uiPriority w:val="9"/>
    <w:rsid w:val="001107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1079F"/>
    <w:pPr>
      <w:spacing w:before="480" w:line="276" w:lineRule="auto"/>
      <w:outlineLvl w:val="9"/>
    </w:pPr>
    <w:rPr>
      <w:b/>
      <w:bCs/>
      <w:sz w:val="28"/>
      <w:szCs w:val="28"/>
      <w:lang w:val="en-US" w:eastAsia="en-US"/>
    </w:rPr>
  </w:style>
  <w:style w:type="paragraph" w:styleId="TOC3">
    <w:name w:val="toc 3"/>
    <w:basedOn w:val="Normal"/>
    <w:next w:val="Normal"/>
    <w:autoRedefine/>
    <w:uiPriority w:val="39"/>
    <w:unhideWhenUsed/>
    <w:rsid w:val="00CD6CEB"/>
    <w:pPr>
      <w:tabs>
        <w:tab w:val="right" w:leader="dot" w:pos="9322"/>
      </w:tabs>
      <w:spacing w:after="100" w:line="240" w:lineRule="auto"/>
    </w:pPr>
    <w:rPr>
      <w:rFonts w:ascii="Arial" w:hAnsi="Arial" w:cs="Times New Roman"/>
      <w:sz w:val="24"/>
      <w:szCs w:val="24"/>
      <w:lang w:eastAsia="en-US"/>
    </w:rPr>
  </w:style>
  <w:style w:type="character" w:customStyle="1" w:styleId="Heading3Char">
    <w:name w:val="Heading 3 Char"/>
    <w:basedOn w:val="DefaultParagraphFont"/>
    <w:link w:val="Heading3"/>
    <w:uiPriority w:val="9"/>
    <w:semiHidden/>
    <w:rsid w:val="0011079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06763"/>
    <w:pPr>
      <w:spacing w:after="0" w:line="240" w:lineRule="auto"/>
    </w:pPr>
  </w:style>
  <w:style w:type="paragraph" w:styleId="BalloonText">
    <w:name w:val="Balloon Text"/>
    <w:basedOn w:val="Normal"/>
    <w:link w:val="BalloonTextChar"/>
    <w:uiPriority w:val="99"/>
    <w:semiHidden/>
    <w:unhideWhenUsed/>
    <w:rsid w:val="00CF5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68A"/>
    <w:rPr>
      <w:rFonts w:ascii="Segoe UI" w:hAnsi="Segoe UI" w:cs="Segoe UI"/>
      <w:sz w:val="18"/>
      <w:szCs w:val="18"/>
    </w:rPr>
  </w:style>
  <w:style w:type="paragraph" w:styleId="ListParagraph">
    <w:name w:val="List Paragraph"/>
    <w:basedOn w:val="Normal"/>
    <w:uiPriority w:val="34"/>
    <w:qFormat/>
    <w:rsid w:val="00CF568A"/>
    <w:pPr>
      <w:spacing w:after="0" w:line="240" w:lineRule="auto"/>
      <w:ind w:left="720"/>
      <w:contextualSpacing/>
    </w:pPr>
    <w:rPr>
      <w:rFonts w:ascii="Arial" w:hAnsi="Arial" w:cs="Times New Roman"/>
      <w:sz w:val="24"/>
      <w:szCs w:val="24"/>
      <w:lang w:eastAsia="en-US"/>
    </w:rPr>
  </w:style>
  <w:style w:type="table" w:styleId="TableGrid">
    <w:name w:val="Table Grid"/>
    <w:basedOn w:val="TableNormal"/>
    <w:uiPriority w:val="59"/>
    <w:rsid w:val="00EA2FA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centre@smallbusiness.wa.gov.au?subject=Freedom%20of%20Informa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mallbusinesswa.snapforms.com.au/form/freedom-of-information-appli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entre@smallbusiness.wa.gov.au?subject=Freedom%20of%20Information%20" TargetMode="External"/><Relationship Id="rId5" Type="http://schemas.openxmlformats.org/officeDocument/2006/relationships/footnotes" Target="footnotes.xml"/><Relationship Id="rId15" Type="http://schemas.openxmlformats.org/officeDocument/2006/relationships/hyperlink" Target="https://www.oic.wa.gov.au/en-au/ThePublic" TargetMode="External"/><Relationship Id="rId10" Type="http://schemas.openxmlformats.org/officeDocument/2006/relationships/hyperlink" Target="file:///C:\Users\rosenm\AppData\Local\Hewlett-Packard\HP%20TRIM\TEMP\HPTRIM.6308\www.smallbusiness.wa.gov.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mallbusines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Small Business Development Corporation</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SBDC Freedom of Information statement</dc:title>
  <dc:subject/>
  <cp:keywords/>
  <dc:description/>
  <cp:revision>5</cp:revision>
  <dcterms:created xsi:type="dcterms:W3CDTF">2023-12-08T00:22:00Z</dcterms:created>
  <dcterms:modified xsi:type="dcterms:W3CDTF">2023-12-08T01:25:00Z</dcterms:modified>
</cp:coreProperties>
</file>